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07428" w:rsidTr="00727B55">
        <w:tc>
          <w:tcPr>
            <w:tcW w:w="4785" w:type="dxa"/>
          </w:tcPr>
          <w:p w:rsidR="00026D40" w:rsidRDefault="00226369" w:rsidP="00026D40">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026D40">
              <w:rPr>
                <w:rFonts w:ascii="한컴바탕" w:eastAsia="한컴바탕" w:hAnsi="한컴바탕" w:cs="한컴바탕" w:hint="eastAsia"/>
                <w:b/>
                <w:sz w:val="26"/>
                <w:szCs w:val="26"/>
                <w:lang w:eastAsia="ko-KR"/>
              </w:rPr>
              <w:t xml:space="preserve">기술선진형 서비스기업 관련 </w:t>
            </w:r>
          </w:p>
          <w:p w:rsidR="00226369" w:rsidRPr="00026D40" w:rsidRDefault="00226369" w:rsidP="00026D40">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026D40">
              <w:rPr>
                <w:rFonts w:ascii="한컴바탕" w:eastAsia="한컴바탕" w:hAnsi="한컴바탕" w:cs="한컴바탕" w:hint="eastAsia"/>
                <w:b/>
                <w:sz w:val="26"/>
                <w:szCs w:val="26"/>
                <w:lang w:eastAsia="ko-KR"/>
              </w:rPr>
              <w:t>기업소득세 정책문제에 관한 통지</w:t>
            </w:r>
          </w:p>
          <w:p w:rsidR="00226369" w:rsidRPr="00026D40" w:rsidRDefault="00226369" w:rsidP="00026D40">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재세[2010]65호</w:t>
            </w:r>
          </w:p>
          <w:p w:rsidR="00226369" w:rsidRDefault="00226369" w:rsidP="00026D40">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026D40" w:rsidRPr="00026D40" w:rsidRDefault="00026D40" w:rsidP="00026D40">
            <w:pPr>
              <w:wordWrap w:val="0"/>
              <w:topLinePunct/>
              <w:autoSpaceDN w:val="0"/>
              <w:adjustRightInd w:val="0"/>
              <w:snapToGrid w:val="0"/>
              <w:spacing w:line="290" w:lineRule="atLeast"/>
              <w:rPr>
                <w:rFonts w:ascii="한컴바탕" w:eastAsia="한컴바탕" w:hAnsi="한컴바탕" w:cs="한컴바탕"/>
                <w:szCs w:val="21"/>
                <w:lang w:eastAsia="ko-KR"/>
              </w:rPr>
            </w:pPr>
          </w:p>
          <w:p w:rsidR="00226369" w:rsidRPr="00E71AE8" w:rsidRDefault="00226369" w:rsidP="00026D40">
            <w:pPr>
              <w:wordWrap w:val="0"/>
              <w:topLinePunct/>
              <w:autoSpaceDN w:val="0"/>
              <w:adjustRightInd w:val="0"/>
              <w:snapToGrid w:val="0"/>
              <w:spacing w:line="290" w:lineRule="atLeast"/>
              <w:rPr>
                <w:rFonts w:ascii="한컴바탕" w:eastAsia="한컴바탕" w:hAnsi="한컴바탕" w:cs="한컴바탕" w:hint="eastAsia"/>
                <w:spacing w:val="14"/>
                <w:szCs w:val="21"/>
                <w:lang w:eastAsia="ko-KR"/>
              </w:rPr>
            </w:pPr>
            <w:r w:rsidRPr="00E71AE8">
              <w:rPr>
                <w:rFonts w:ascii="한컴바탕" w:eastAsia="한컴바탕" w:hAnsi="한컴바탕" w:cs="한컴바탕" w:hint="eastAsia"/>
                <w:spacing w:val="14"/>
                <w:szCs w:val="21"/>
                <w:lang w:eastAsia="ko-KR"/>
              </w:rPr>
              <w:t>북경, 천진, 대련, 흑룡강, 상해, 강소, 절강, 안휘, 하문, 강서, 산동, 호북, 호남, 광동, 심천, 중경, 사천, 섬서성(직할시, 중앙 직속 중점 개발 도시) 재정청(국), 국가세무국, 지방세무국, 상무주관 부문, 과기청(위원회, 국), 발전개혁위원회:</w:t>
            </w:r>
          </w:p>
          <w:p w:rsidR="00226369" w:rsidRPr="00026D40" w:rsidRDefault="00226369" w:rsidP="00026D40">
            <w:pPr>
              <w:wordWrap w:val="0"/>
              <w:topLinePunct/>
              <w:autoSpaceDN w:val="0"/>
              <w:adjustRightInd w:val="0"/>
              <w:snapToGrid w:val="0"/>
              <w:spacing w:line="290" w:lineRule="atLeast"/>
              <w:rPr>
                <w:rFonts w:ascii="한컴바탕" w:eastAsia="한컴바탕" w:hAnsi="한컴바탕" w:cs="한컴바탕"/>
                <w:szCs w:val="21"/>
                <w:lang w:eastAsia="ko-KR"/>
              </w:rPr>
            </w:pP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국무원 관련 문건 정신에 따라 기술선진형 서비스 기업 관련 기업소득세 정책 문제를 아래와 같이 통지한다.</w:t>
            </w:r>
          </w:p>
          <w:p w:rsidR="00226369" w:rsidRPr="00026D40" w:rsidRDefault="00226369" w:rsidP="00026D40">
            <w:pPr>
              <w:wordWrap w:val="0"/>
              <w:topLinePunct/>
              <w:autoSpaceDN w:val="0"/>
              <w:adjustRightInd w:val="0"/>
              <w:snapToGrid w:val="0"/>
              <w:spacing w:line="290" w:lineRule="atLeast"/>
              <w:ind w:firstLineChars="100" w:firstLine="206"/>
              <w:rPr>
                <w:rFonts w:ascii="한컴바탕" w:eastAsia="한컴바탕" w:hAnsi="한컴바탕" w:cs="한컴바탕"/>
                <w:b/>
                <w:szCs w:val="21"/>
                <w:lang w:eastAsia="ko-KR"/>
              </w:rPr>
            </w:pPr>
          </w:p>
          <w:p w:rsidR="00226369" w:rsidRPr="00E71AE8" w:rsidRDefault="00226369" w:rsidP="00E71AE8">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71AE8">
              <w:rPr>
                <w:rFonts w:ascii="한컴바탕" w:eastAsia="한컴바탕" w:hAnsi="한컴바탕" w:cs="한컴바탕" w:hint="eastAsia"/>
                <w:szCs w:val="21"/>
                <w:lang w:eastAsia="ko-KR"/>
              </w:rPr>
              <w:t xml:space="preserve">I. 2010년 7월1일부터 2013년 12월 31일까지 북경, 천진, 상해, 중경, 대련, 심천, 광주, 무한, 하얼빈, 성도, 남경, 서안, 제남, 항주, 합비, 남창, 장사, 대경, 소주, 무석, 하문 등 21개 중국 서비스 외주 시범도시(이하 시범 도시)에서 아래와 같이 기업소득세 우대 정책을 실시한다. </w:t>
            </w:r>
          </w:p>
          <w:p w:rsidR="00226369" w:rsidRPr="00E71AE8" w:rsidRDefault="00226369" w:rsidP="00E71AE8">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E71AE8">
              <w:rPr>
                <w:rFonts w:ascii="한컴바탕" w:eastAsia="한컴바탕" w:hAnsi="한컴바탕" w:cs="한컴바탕" w:hint="eastAsia"/>
                <w:spacing w:val="-6"/>
                <w:szCs w:val="21"/>
                <w:lang w:eastAsia="ko-KR"/>
              </w:rPr>
              <w:t xml:space="preserve">1. 인증을 거친 기술선진형 서비스 기업에 대하여 15% 감면한 세율로 기업소득세를 징수한다. </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2. 인증을 거친 기술선진형 서비스 기업에 발생한 직원 교육경비 지출 중 임금총액의 8%를 초과하지 않은 부분에 대하여 납부해야 할 소득액을 계산할 때 공제한다. 초과하는 부분은 이후 납세연도에 이월하여 공제한다.</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226369" w:rsidRPr="00E71AE8" w:rsidRDefault="00226369" w:rsidP="00E71AE8">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71AE8">
              <w:rPr>
                <w:rFonts w:ascii="한컴바탕" w:eastAsia="한컴바탕" w:hAnsi="한컴바탕" w:cs="한컴바탕" w:hint="eastAsia"/>
                <w:szCs w:val="21"/>
                <w:lang w:eastAsia="ko-KR"/>
              </w:rPr>
              <w:t>II. 본 통지 제1조에서 규정하는 기업소득세 우대정책을 향유하는 기술선진형 서비스 기업은 반드시 아래 조건에 부합해야 한다.</w:t>
            </w:r>
          </w:p>
          <w:p w:rsidR="00226369" w:rsidRPr="00E71AE8" w:rsidRDefault="00226369" w:rsidP="00E71AE8">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E71AE8">
              <w:rPr>
                <w:rFonts w:ascii="한컴바탕" w:eastAsia="한컴바탕" w:hAnsi="한컴바탕" w:cs="한컴바탕" w:hint="eastAsia"/>
                <w:spacing w:val="-4"/>
                <w:szCs w:val="21"/>
                <w:lang w:eastAsia="ko-KR"/>
              </w:rPr>
              <w:t>1. 《기술선진형 서비스 업무 인증 범위(시행)》(첨부 참조 요망)중 한가지 혹은 여러 기술 선진형 서비스 업무에 종사하고 선진 기술을 도입하거나 비교적 우수한 R&amp;D 능력을 갖출 것.</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26D40">
              <w:rPr>
                <w:rFonts w:ascii="한컴바탕" w:eastAsia="한컴바탕" w:hAnsi="한컴바탕" w:cs="한컴바탕" w:hint="eastAsia"/>
                <w:szCs w:val="21"/>
                <w:lang w:eastAsia="ko-KR"/>
              </w:rPr>
              <w:t>2. 기업의 등록지 및 생산 경영지가 시범도시(구, 현, 현급 도시 등 모든 행정 구역)내 일 것.</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26D40">
              <w:rPr>
                <w:rFonts w:ascii="한컴바탕" w:eastAsia="한컴바탕" w:hAnsi="한컴바탕" w:cs="한컴바탕" w:hint="eastAsia"/>
                <w:szCs w:val="21"/>
                <w:lang w:eastAsia="ko-KR"/>
              </w:rPr>
              <w:t xml:space="preserve">3. 기업은 법인 자격을 갖추고, 최근 2년에 수출입 업무 관리, 재무 관리, 세수관리, 외환관리, 세관관리 등 방면에서 위법행위가 없을 </w:t>
            </w:r>
            <w:r w:rsidRPr="00026D40">
              <w:rPr>
                <w:rFonts w:ascii="한컴바탕" w:eastAsia="한컴바탕" w:hAnsi="한컴바탕" w:cs="한컴바탕" w:hint="eastAsia"/>
                <w:szCs w:val="21"/>
                <w:lang w:eastAsia="ko-KR"/>
              </w:rPr>
              <w:lastRenderedPageBreak/>
              <w:t>것.</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26D40">
              <w:rPr>
                <w:rFonts w:ascii="한컴바탕" w:eastAsia="한컴바탕" w:hAnsi="한컴바탕" w:cs="한컴바탕" w:hint="eastAsia"/>
                <w:szCs w:val="21"/>
                <w:lang w:eastAsia="ko-KR"/>
              </w:rPr>
              <w:t>4. 전문대학 이상의 학력을 가진 직원 비율이 전체 비율에 50% 이상일 것</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26D40">
              <w:rPr>
                <w:rFonts w:ascii="한컴바탕" w:eastAsia="한컴바탕" w:hAnsi="한컴바탕" w:cs="한컴바탕" w:hint="eastAsia"/>
                <w:szCs w:val="21"/>
                <w:lang w:eastAsia="ko-KR"/>
              </w:rPr>
              <w:t>5. 《기술 선진형 서비스 업무 인증 범위(시행)》 중의 기술 선진형 서비스 업무의 수입이 해당기업의 당해 총 수입의 50% 이상일 것</w:t>
            </w:r>
          </w:p>
          <w:p w:rsidR="00226369" w:rsidRPr="00434D89" w:rsidRDefault="00226369" w:rsidP="00434D89">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434D89">
              <w:rPr>
                <w:rFonts w:ascii="한컴바탕" w:eastAsia="한컴바탕" w:hAnsi="한컴바탕" w:cs="한컴바탕" w:hint="eastAsia"/>
                <w:spacing w:val="-6"/>
                <w:szCs w:val="21"/>
                <w:lang w:eastAsia="ko-KR"/>
              </w:rPr>
              <w:t>6. 경외 외주 업무에 종사하고 취득한 수입이 기업의 당해 총 수입의 50% 보다 낮지 않을 것</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경외 외주 업무에 종사하여 취득한 수입이란 기업이 경외 단위와 그 체결한 위탁계약에 근거하여 해당 기업 혹은 직접 하도급 기업에 의하여 경외 단위에 제공한 《기술선진형 서비스 업무 인증 범위(시행)》에 규정한 정보 기술 외주 서비스(ITO), 기술성 업무 프로세스 외주 업무(BPO) 및 기술성 지식 프로세스 외주 서비스(KPO)를 말하며 상술한 경외 단위로부터 취득한 수입을 말한다.</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226369" w:rsidRPr="00434D89" w:rsidRDefault="00226369" w:rsidP="00434D89">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434D89">
              <w:rPr>
                <w:rFonts w:ascii="한컴바탕" w:eastAsia="한컴바탕" w:hAnsi="한컴바탕" w:cs="한컴바탕" w:hint="eastAsia"/>
                <w:szCs w:val="21"/>
                <w:lang w:eastAsia="ko-KR"/>
              </w:rPr>
              <w:t>III. 기술 선진형 서비스 기업의 인증 관리</w:t>
            </w:r>
          </w:p>
          <w:p w:rsidR="00226369" w:rsidRPr="00434D89" w:rsidRDefault="00226369" w:rsidP="00434D89">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434D89">
              <w:rPr>
                <w:rFonts w:ascii="한컴바탕" w:eastAsia="한컴바탕" w:hAnsi="한컴바탕" w:cs="한컴바탕" w:hint="eastAsia"/>
                <w:spacing w:val="-4"/>
                <w:szCs w:val="21"/>
                <w:lang w:eastAsia="ko-KR"/>
              </w:rPr>
              <w:t>1. 시범도시 인민정부 과기 부문이 본 급 상무, 재정, 세무 및 발전 개혁 부문과 회동하여 본 통지의 규정에 근거하여 구체 관리방법을 제정한다. 또한 과기부, 상무부, 재정부, 국가세무총국 및 국가 발전 개혁위원회 및 소재 성(직할시, 중앙 직속 중점 개발 도시)의 과기, 상무, 재정, 세무 및 발전개혁위원회에 보고하여 비안한다.</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026D40">
              <w:rPr>
                <w:rFonts w:ascii="한컴바탕" w:eastAsia="한컴바탕" w:hAnsi="한컴바탕" w:cs="한컴바탕" w:hint="eastAsia"/>
                <w:szCs w:val="21"/>
                <w:lang w:eastAsia="ko-KR"/>
              </w:rPr>
              <w:t>시범도시 소재성(직할시, 중앙 직속 중점 개발 도시) 과기부문은 본 급 상무, 재정, 세무 및 발전개혁위원회와 회동하여 관할 시범도시의 기술 선진형서비스 기업 인증 관리 업무를 책임 지도한다.</w:t>
            </w:r>
          </w:p>
          <w:p w:rsidR="00226369" w:rsidRPr="00026D40" w:rsidRDefault="00226369" w:rsidP="00434D89">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2. 조건에 부합되는 기술선진형 서비스 기업은 반드시 소재 시범도시 인민정부 과기부문에 신청을 해야 하고 시범도시 인민정부 과기부문에 의하여 본 급 상무, 재정, 세무 및 발전개혁위원회 부문이 연합하여 심사하고 인증 문건을 발급한다.인증 기업 명단은 반드시 즉시 과기부, 상무부, 재정부, 국가세무 총국 및 국가발전개혁 위원회와 소재 성(직할시, 중앙 직속 중점 개발 도시)의 과기, 상무, 재정, 세무 및 발전개혁 부문에 보고하여 비안해야 한다.</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 xml:space="preserve">3. 인증을 거친 기술선진형 서비스 기업은 관련 인증 문건을 지참하여 현지 주관 세무 기관에 신청하여 본 통지 제1조에서 규정한 기업 소득세 우대 정책 사항을 처리한다. 기업 소득세 우대 사항을 향유하는 기술선진형 서비스 </w:t>
            </w:r>
            <w:r w:rsidRPr="00026D40">
              <w:rPr>
                <w:rFonts w:ascii="한컴바탕" w:eastAsia="한컴바탕" w:hAnsi="한컴바탕" w:cs="한컴바탕" w:hint="eastAsia"/>
                <w:szCs w:val="21"/>
                <w:lang w:eastAsia="ko-KR"/>
              </w:rPr>
              <w:lastRenderedPageBreak/>
              <w:t>기업 조건에 변화가 생겼을 경우 변화가 발생한 날로부터 15일 내에 주관 세무 기관에 보고해야 한다. 세수 우대 정책 조건에 다시 부합되지 않은 경우 반드시 법에 의거 납세 의무를 이행해야 한다. 주관 세무기관은 세수 우대 정책을 집행하는 과정 중 기업이 기술 선진형 서비스 기업의 자격을 갖추지 않음을 발견했을 경우 기업의 세수 우대 정책을 잠시 중단해야 하고 인증기관에 재심사를 재청해야 한다.</w:t>
            </w:r>
          </w:p>
          <w:p w:rsidR="00226369" w:rsidRPr="00434D89" w:rsidRDefault="00226369" w:rsidP="00434D89">
            <w:pPr>
              <w:wordWrap w:val="0"/>
              <w:topLinePunct/>
              <w:autoSpaceDN w:val="0"/>
              <w:adjustRightInd w:val="0"/>
              <w:snapToGrid w:val="0"/>
              <w:spacing w:line="290" w:lineRule="atLeast"/>
              <w:ind w:firstLineChars="100" w:firstLine="202"/>
              <w:rPr>
                <w:rFonts w:ascii="한컴바탕" w:eastAsia="한컴바탕" w:hAnsi="한컴바탕" w:cs="한컴바탕" w:hint="eastAsia"/>
                <w:spacing w:val="-4"/>
                <w:szCs w:val="21"/>
                <w:lang w:eastAsia="ko-KR"/>
              </w:rPr>
            </w:pPr>
            <w:r w:rsidRPr="00434D89">
              <w:rPr>
                <w:rFonts w:ascii="한컴바탕" w:eastAsia="한컴바탕" w:hAnsi="한컴바탕" w:cs="한컴바탕" w:hint="eastAsia"/>
                <w:spacing w:val="-4"/>
                <w:szCs w:val="21"/>
                <w:lang w:eastAsia="ko-KR"/>
              </w:rPr>
              <w:t>4. 시범 도시 인민정부의 과기, 상무, 재정, 세무 및 발전개혁위원회 부문 및 소재 성(직할시, 중앙 직속 중점 개발 도시)의 과기, 사우, 재정, 세무 및 발전개혁위원회는 인증을 거치고 세수 우대 정책을 누리는 기술선진형 서비스 기업에 대하여 밀착관리를 실시해야 하며 경영범위 변경, 합병, 분립, 전업, 이전하는 기업에 대하여 만약 인증 조건에 부합되지 않은 경우 반드시 즉시 세수 우대 정책 자격을 취소해야 한다.</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226369" w:rsidRPr="00434D89" w:rsidRDefault="00226369" w:rsidP="00434D89">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434D89">
              <w:rPr>
                <w:rFonts w:ascii="한컴바탕" w:eastAsia="한컴바탕" w:hAnsi="한컴바탕" w:cs="한컴바탕" w:hint="eastAsia"/>
                <w:szCs w:val="21"/>
                <w:lang w:eastAsia="ko-KR"/>
              </w:rPr>
              <w:t>IV. 시범도시 인민정부 재정, 세무, 상무, 과기 및 발전개혁 부문은 본 통지의 각 항의 규정을 철저히 이행해야 하며 소통과 협조를 다해야 한다. 정책 실시 과정 중 문제가 발생하면 반드시 즉시 각급의 재정부, 국가세무총국, 상무부, 과기부 및 국가발전 개혁위원회에 보고해야 한다.</w:t>
            </w:r>
          </w:p>
          <w:p w:rsidR="00226369" w:rsidRPr="00434D89" w:rsidRDefault="00226369" w:rsidP="00434D89">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226369" w:rsidRPr="00434D89" w:rsidRDefault="00226369" w:rsidP="00434D89">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434D89">
              <w:rPr>
                <w:rFonts w:ascii="한컴바탕" w:eastAsia="한컴바탕" w:hAnsi="한컴바탕" w:cs="한컴바탕" w:hint="eastAsia"/>
                <w:szCs w:val="21"/>
                <w:lang w:eastAsia="ko-KR"/>
              </w:rPr>
              <w:t>V. 《재정부 국가세무총국 상무부 과기부 국가발전개혁위원회의 기술선진형 서비스 기업 관련 세수 정책문제에 관한 통지》 (재세[2009]63호)는 2010년 7월 1일부로 폐지한다.</w:t>
            </w: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226369" w:rsidRPr="00026D40" w:rsidRDefault="00226369" w:rsidP="00026D40">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첨부: 기술선진형 서비스 업무인증 범위(시행)</w:t>
            </w:r>
          </w:p>
          <w:p w:rsidR="00226369" w:rsidRPr="00026D40" w:rsidRDefault="00226369" w:rsidP="00026D40">
            <w:pPr>
              <w:wordWrap w:val="0"/>
              <w:topLinePunct/>
              <w:autoSpaceDN w:val="0"/>
              <w:adjustRightInd w:val="0"/>
              <w:snapToGrid w:val="0"/>
              <w:spacing w:line="290" w:lineRule="atLeast"/>
              <w:ind w:firstLineChars="400" w:firstLine="840"/>
              <w:rPr>
                <w:rFonts w:ascii="한컴바탕" w:eastAsia="한컴바탕" w:hAnsi="한컴바탕" w:cs="한컴바탕" w:hint="eastAsia"/>
                <w:szCs w:val="21"/>
              </w:rPr>
            </w:pPr>
            <w:hyperlink r:id="rId6" w:history="1">
              <w:r w:rsidRPr="00026D40">
                <w:rPr>
                  <w:rStyle w:val="a6"/>
                  <w:rFonts w:ascii="한컴바탕" w:eastAsia="한컴바탕" w:hAnsi="한컴바탕" w:cs="한컴바탕"/>
                  <w:szCs w:val="21"/>
                </w:rPr>
                <w:t>http://www.gov.cn/gzdt/att/att/site1/20</w:t>
              </w:r>
              <w:r w:rsidRPr="00026D40">
                <w:rPr>
                  <w:rStyle w:val="a6"/>
                  <w:rFonts w:ascii="한컴바탕" w:eastAsia="한컴바탕" w:hAnsi="한컴바탕" w:cs="한컴바탕"/>
                  <w:szCs w:val="21"/>
                </w:rPr>
                <w:t>1</w:t>
              </w:r>
              <w:r w:rsidRPr="00026D40">
                <w:rPr>
                  <w:rStyle w:val="a6"/>
                  <w:rFonts w:ascii="한컴바탕" w:eastAsia="한컴바탕" w:hAnsi="한컴바탕" w:cs="한컴바탕"/>
                  <w:szCs w:val="21"/>
                </w:rPr>
                <w:t>01119/0011431e80bc0e507f1801.doc</w:t>
              </w:r>
            </w:hyperlink>
          </w:p>
          <w:p w:rsidR="00226369" w:rsidRPr="00026D40" w:rsidRDefault="00226369" w:rsidP="00026D40">
            <w:pPr>
              <w:wordWrap w:val="0"/>
              <w:topLinePunct/>
              <w:autoSpaceDN w:val="0"/>
              <w:adjustRightInd w:val="0"/>
              <w:snapToGrid w:val="0"/>
              <w:spacing w:line="290" w:lineRule="atLeast"/>
              <w:rPr>
                <w:rFonts w:ascii="한컴바탕" w:eastAsia="한컴바탕" w:hAnsi="한컴바탕" w:cs="한컴바탕" w:hint="eastAsia"/>
                <w:szCs w:val="21"/>
              </w:rPr>
            </w:pPr>
          </w:p>
          <w:p w:rsidR="00226369" w:rsidRPr="00026D40" w:rsidRDefault="00226369" w:rsidP="00026D40">
            <w:pPr>
              <w:wordWrap w:val="0"/>
              <w:topLinePunct/>
              <w:autoSpaceDN w:val="0"/>
              <w:adjustRightInd w:val="0"/>
              <w:snapToGrid w:val="0"/>
              <w:spacing w:line="290" w:lineRule="atLeast"/>
              <w:rPr>
                <w:rFonts w:ascii="한컴바탕" w:eastAsia="한컴바탕" w:hAnsi="한컴바탕" w:cs="한컴바탕" w:hint="eastAsia"/>
                <w:szCs w:val="21"/>
              </w:rPr>
            </w:pPr>
          </w:p>
          <w:p w:rsidR="00226369" w:rsidRPr="00026D40" w:rsidRDefault="00226369" w:rsidP="00026D40">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재정부</w:t>
            </w:r>
          </w:p>
          <w:p w:rsidR="00226369" w:rsidRPr="00026D40" w:rsidRDefault="00226369" w:rsidP="00026D40">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국가세무총국</w:t>
            </w:r>
          </w:p>
          <w:p w:rsidR="00226369" w:rsidRPr="00026D40" w:rsidRDefault="00226369" w:rsidP="00026D40">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상무부</w:t>
            </w:r>
          </w:p>
          <w:p w:rsidR="00226369" w:rsidRPr="00026D40" w:rsidRDefault="00226369" w:rsidP="00026D40">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과학기술부</w:t>
            </w:r>
          </w:p>
          <w:p w:rsidR="00226369" w:rsidRPr="00026D40" w:rsidRDefault="00226369" w:rsidP="00026D40">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국가발전개혁위원회</w:t>
            </w:r>
          </w:p>
          <w:p w:rsidR="00C07428" w:rsidRPr="00026D40" w:rsidRDefault="00226369" w:rsidP="00727B55">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026D40">
              <w:rPr>
                <w:rFonts w:ascii="한컴바탕" w:eastAsia="한컴바탕" w:hAnsi="한컴바탕" w:cs="한컴바탕" w:hint="eastAsia"/>
                <w:szCs w:val="21"/>
                <w:lang w:eastAsia="ko-KR"/>
              </w:rPr>
              <w:t>2010년 11월 5일</w:t>
            </w:r>
          </w:p>
        </w:tc>
        <w:tc>
          <w:tcPr>
            <w:tcW w:w="539" w:type="dxa"/>
          </w:tcPr>
          <w:p w:rsidR="00C07428" w:rsidRPr="00C7698F" w:rsidRDefault="00C07428" w:rsidP="00C7698F">
            <w:pPr>
              <w:snapToGrid w:val="0"/>
              <w:spacing w:line="290" w:lineRule="atLeast"/>
              <w:rPr>
                <w:szCs w:val="21"/>
              </w:rPr>
            </w:pPr>
          </w:p>
        </w:tc>
        <w:tc>
          <w:tcPr>
            <w:tcW w:w="3958" w:type="dxa"/>
          </w:tcPr>
          <w:p w:rsidR="00026D40" w:rsidRDefault="007960D0" w:rsidP="00C7698F">
            <w:pPr>
              <w:snapToGrid w:val="0"/>
              <w:spacing w:line="290" w:lineRule="atLeast"/>
              <w:jc w:val="center"/>
              <w:rPr>
                <w:rFonts w:ascii="SimSun" w:eastAsiaTheme="minorEastAsia" w:hAnsi="SimSun" w:hint="eastAsia"/>
                <w:b/>
                <w:sz w:val="26"/>
                <w:szCs w:val="26"/>
                <w:lang w:eastAsia="ko-KR"/>
              </w:rPr>
            </w:pPr>
            <w:r w:rsidRPr="00026D40">
              <w:rPr>
                <w:rFonts w:ascii="SimSun" w:hAnsi="SimSun" w:hint="eastAsia"/>
                <w:b/>
                <w:sz w:val="26"/>
                <w:szCs w:val="26"/>
              </w:rPr>
              <w:t>关于技术先进型服务企业有关</w:t>
            </w:r>
          </w:p>
          <w:p w:rsidR="007960D0" w:rsidRPr="00026D40" w:rsidRDefault="007960D0" w:rsidP="00026D40">
            <w:pPr>
              <w:snapToGrid w:val="0"/>
              <w:spacing w:line="290" w:lineRule="atLeast"/>
              <w:jc w:val="center"/>
              <w:rPr>
                <w:rFonts w:ascii="SimSun" w:hAnsi="SimSun" w:hint="eastAsia"/>
                <w:b/>
                <w:sz w:val="26"/>
                <w:szCs w:val="26"/>
              </w:rPr>
            </w:pPr>
            <w:r w:rsidRPr="00026D40">
              <w:rPr>
                <w:rFonts w:ascii="SimSun" w:hAnsi="SimSun" w:hint="eastAsia"/>
                <w:b/>
                <w:sz w:val="26"/>
                <w:szCs w:val="26"/>
              </w:rPr>
              <w:t>企业所得税政策问题的通知</w:t>
            </w:r>
          </w:p>
          <w:p w:rsidR="007960D0" w:rsidRPr="00026D40" w:rsidRDefault="007960D0" w:rsidP="00C7698F">
            <w:pPr>
              <w:snapToGrid w:val="0"/>
              <w:spacing w:line="290" w:lineRule="atLeast"/>
              <w:jc w:val="center"/>
              <w:rPr>
                <w:rFonts w:ascii="SimSun" w:hAnsi="SimSun" w:hint="eastAsia"/>
                <w:szCs w:val="21"/>
              </w:rPr>
            </w:pPr>
            <w:r w:rsidRPr="00026D40">
              <w:rPr>
                <w:rFonts w:ascii="SimSun" w:hAnsi="SimSun" w:hint="eastAsia"/>
                <w:szCs w:val="21"/>
              </w:rPr>
              <w:t>财税[2010]65号</w:t>
            </w:r>
          </w:p>
          <w:p w:rsidR="007960D0" w:rsidRPr="00026D40" w:rsidRDefault="007960D0" w:rsidP="00C7698F">
            <w:pPr>
              <w:snapToGrid w:val="0"/>
              <w:spacing w:line="290" w:lineRule="atLeast"/>
              <w:ind w:firstLineChars="200" w:firstLine="420"/>
              <w:rPr>
                <w:rFonts w:ascii="SimSun" w:hAnsi="SimSun"/>
                <w:szCs w:val="21"/>
              </w:rPr>
            </w:pPr>
          </w:p>
          <w:p w:rsidR="007960D0" w:rsidRPr="00026D40" w:rsidRDefault="007960D0" w:rsidP="00C7698F">
            <w:pPr>
              <w:snapToGrid w:val="0"/>
              <w:spacing w:line="290" w:lineRule="atLeast"/>
              <w:ind w:firstLineChars="200" w:firstLine="420"/>
              <w:rPr>
                <w:rFonts w:ascii="SimSun" w:hAnsi="SimSun"/>
                <w:szCs w:val="21"/>
              </w:rPr>
            </w:pPr>
          </w:p>
          <w:p w:rsidR="007960D0" w:rsidRPr="00026D40" w:rsidRDefault="007960D0" w:rsidP="00C7698F">
            <w:pPr>
              <w:snapToGrid w:val="0"/>
              <w:spacing w:line="290" w:lineRule="atLeast"/>
              <w:rPr>
                <w:rFonts w:ascii="SimSun" w:hAnsi="SimSun" w:hint="eastAsia"/>
                <w:szCs w:val="21"/>
              </w:rPr>
            </w:pPr>
            <w:r w:rsidRPr="00026D40">
              <w:rPr>
                <w:rFonts w:ascii="SimSun" w:hAnsi="SimSun" w:hint="eastAsia"/>
                <w:szCs w:val="21"/>
              </w:rPr>
              <w:t>北京、天津、大连、黑龙江、上海、江苏、浙江、安徽、厦门、江西、山东、湖北、湖南、广东、深圳、重庆、四川、陕西省（直辖市、计划单列市）财政厅（局）、国家税务局、地方税务局、商务主管部门、科技厅（委、局）、发展改革委：</w:t>
            </w:r>
          </w:p>
          <w:p w:rsidR="007960D0" w:rsidRPr="00026D40" w:rsidRDefault="007960D0" w:rsidP="00C7698F">
            <w:pPr>
              <w:snapToGrid w:val="0"/>
              <w:spacing w:line="290" w:lineRule="atLeast"/>
              <w:ind w:firstLineChars="200" w:firstLine="420"/>
              <w:rPr>
                <w:rFonts w:ascii="SimSun" w:hAnsi="SimSun"/>
                <w:szCs w:val="21"/>
              </w:rPr>
            </w:pPr>
          </w:p>
          <w:p w:rsidR="007960D0" w:rsidRDefault="007960D0" w:rsidP="00C7698F">
            <w:pPr>
              <w:snapToGrid w:val="0"/>
              <w:spacing w:line="290" w:lineRule="atLeast"/>
              <w:ind w:firstLineChars="200" w:firstLine="420"/>
              <w:rPr>
                <w:rFonts w:ascii="SimSun" w:eastAsiaTheme="minorEastAsia" w:hAnsi="SimSun" w:hint="eastAsia"/>
                <w:szCs w:val="21"/>
                <w:lang w:eastAsia="ko-KR"/>
              </w:rPr>
            </w:pPr>
            <w:r w:rsidRPr="00026D40">
              <w:rPr>
                <w:rFonts w:ascii="SimSun" w:hAnsi="SimSun" w:hint="eastAsia"/>
                <w:szCs w:val="21"/>
              </w:rPr>
              <w:t>根据国务院有关文件精神，现就技术先进型服务企业有关企业所得税政策问题通知如下：</w:t>
            </w:r>
          </w:p>
          <w:p w:rsidR="00E71AE8" w:rsidRPr="00E71AE8" w:rsidRDefault="00E71AE8" w:rsidP="00C7698F">
            <w:pPr>
              <w:snapToGrid w:val="0"/>
              <w:spacing w:line="290" w:lineRule="atLeast"/>
              <w:ind w:firstLineChars="200" w:firstLine="420"/>
              <w:rPr>
                <w:rFonts w:ascii="SimSun" w:eastAsiaTheme="minorEastAsia" w:hAnsi="SimSun"/>
                <w:szCs w:val="21"/>
                <w:lang w:eastAsia="ko-KR"/>
              </w:rPr>
            </w:pPr>
          </w:p>
          <w:p w:rsidR="007960D0" w:rsidRPr="00E71AE8" w:rsidRDefault="007960D0" w:rsidP="00E71AE8">
            <w:pPr>
              <w:snapToGrid w:val="0"/>
              <w:spacing w:line="290" w:lineRule="atLeast"/>
              <w:ind w:firstLineChars="200" w:firstLine="396"/>
              <w:rPr>
                <w:rFonts w:ascii="SimSun" w:hAnsi="SimSun"/>
                <w:spacing w:val="-6"/>
                <w:szCs w:val="21"/>
              </w:rPr>
            </w:pPr>
            <w:r w:rsidRPr="00E71AE8">
              <w:rPr>
                <w:rFonts w:ascii="SimSun" w:hAnsi="SimSun" w:hint="eastAsia"/>
                <w:spacing w:val="-6"/>
                <w:szCs w:val="21"/>
              </w:rPr>
              <w:t>一、自</w:t>
            </w:r>
            <w:smartTag w:uri="urn:schemas-microsoft-com:office:smarttags" w:element="chsdate">
              <w:smartTagPr>
                <w:attr w:name="IsROCDate" w:val="False"/>
                <w:attr w:name="IsLunarDate" w:val="False"/>
                <w:attr w:name="Day" w:val="1"/>
                <w:attr w:name="Month" w:val="7"/>
                <w:attr w:name="Year" w:val="2010"/>
              </w:smartTagPr>
              <w:r w:rsidRPr="00E71AE8">
                <w:rPr>
                  <w:rFonts w:ascii="SimSun" w:hAnsi="SimSun" w:hint="eastAsia"/>
                  <w:spacing w:val="-6"/>
                  <w:szCs w:val="21"/>
                </w:rPr>
                <w:t>2010年7月1日起</w:t>
              </w:r>
            </w:smartTag>
            <w:r w:rsidRPr="00E71AE8">
              <w:rPr>
                <w:rFonts w:ascii="SimSun" w:hAnsi="SimSun" w:hint="eastAsia"/>
                <w:spacing w:val="-6"/>
                <w:szCs w:val="21"/>
              </w:rPr>
              <w:t>至</w:t>
            </w:r>
            <w:smartTag w:uri="urn:schemas-microsoft-com:office:smarttags" w:element="chsdate">
              <w:smartTagPr>
                <w:attr w:name="IsROCDate" w:val="False"/>
                <w:attr w:name="IsLunarDate" w:val="False"/>
                <w:attr w:name="Day" w:val="31"/>
                <w:attr w:name="Month" w:val="12"/>
                <w:attr w:name="Year" w:val="2013"/>
              </w:smartTagPr>
              <w:r w:rsidRPr="00E71AE8">
                <w:rPr>
                  <w:rFonts w:ascii="SimSun" w:hAnsi="SimSun" w:hint="eastAsia"/>
                  <w:spacing w:val="-6"/>
                  <w:szCs w:val="21"/>
                </w:rPr>
                <w:t>2013年12月31日</w:t>
              </w:r>
            </w:smartTag>
            <w:r w:rsidRPr="00E71AE8">
              <w:rPr>
                <w:rFonts w:ascii="SimSun" w:hAnsi="SimSun" w:hint="eastAsia"/>
                <w:spacing w:val="-6"/>
                <w:szCs w:val="21"/>
              </w:rPr>
              <w:t>止，在北京、天津、上海、重庆、大连、深圳、广州、武汉、哈尔滨、成都、南京、西安、济南、杭州、合肥、南昌、长沙、大庆、苏州、无锡、厦门等21个中国服务外包示范城市（以下简称示范城市）实行以下企业所得税优惠政策：</w:t>
            </w:r>
          </w:p>
          <w:p w:rsidR="007960D0" w:rsidRPr="00026D40" w:rsidRDefault="007960D0" w:rsidP="00C7698F">
            <w:pPr>
              <w:snapToGrid w:val="0"/>
              <w:spacing w:line="290" w:lineRule="atLeast"/>
              <w:ind w:firstLineChars="200" w:firstLine="420"/>
              <w:rPr>
                <w:rFonts w:ascii="SimSun" w:hAnsi="SimSun"/>
                <w:szCs w:val="21"/>
              </w:rPr>
            </w:pPr>
            <w:r w:rsidRPr="00026D40">
              <w:rPr>
                <w:rFonts w:ascii="SimSun" w:hAnsi="SimSun" w:hint="eastAsia"/>
                <w:szCs w:val="21"/>
              </w:rPr>
              <w:t>1.对经认定的技术先进型服务企业，减按15%的税率征收企业所得税。</w:t>
            </w:r>
          </w:p>
          <w:p w:rsidR="007960D0" w:rsidRPr="00026D40" w:rsidRDefault="007960D0" w:rsidP="00C7698F">
            <w:pPr>
              <w:snapToGrid w:val="0"/>
              <w:spacing w:line="290" w:lineRule="atLeast"/>
              <w:ind w:firstLineChars="200" w:firstLine="420"/>
              <w:rPr>
                <w:rFonts w:ascii="SimSun" w:hAnsi="SimSun" w:hint="eastAsia"/>
                <w:szCs w:val="21"/>
              </w:rPr>
            </w:pPr>
            <w:r w:rsidRPr="00026D40">
              <w:rPr>
                <w:rFonts w:ascii="SimSun" w:hAnsi="SimSun" w:hint="eastAsia"/>
                <w:szCs w:val="21"/>
              </w:rPr>
              <w:t>2.经认定的技术先进型服务企业发生的职工教育经费支出，不超过工资薪金总额8%的部分，准予在计算应纳税所得额时扣除；超过部分，准予在以后纳税年度结转扣除。</w:t>
            </w:r>
          </w:p>
          <w:p w:rsidR="007960D0" w:rsidRPr="00026D40" w:rsidRDefault="007960D0" w:rsidP="00C7698F">
            <w:pPr>
              <w:snapToGrid w:val="0"/>
              <w:spacing w:line="290" w:lineRule="atLeast"/>
              <w:ind w:firstLineChars="200" w:firstLine="420"/>
              <w:rPr>
                <w:rFonts w:ascii="SimSun" w:hAnsi="SimSun"/>
                <w:szCs w:val="21"/>
              </w:rPr>
            </w:pPr>
          </w:p>
          <w:p w:rsidR="007960D0" w:rsidRPr="00026D40" w:rsidRDefault="007960D0" w:rsidP="00C7698F">
            <w:pPr>
              <w:snapToGrid w:val="0"/>
              <w:spacing w:line="290" w:lineRule="atLeast"/>
              <w:ind w:firstLineChars="200" w:firstLine="420"/>
              <w:rPr>
                <w:rFonts w:ascii="SimSun" w:hAnsi="SimSun"/>
                <w:szCs w:val="21"/>
              </w:rPr>
            </w:pPr>
            <w:r w:rsidRPr="00026D40">
              <w:rPr>
                <w:rFonts w:ascii="SimSun" w:hAnsi="SimSun" w:hint="eastAsia"/>
                <w:szCs w:val="21"/>
              </w:rPr>
              <w:t>二、享受本通知第一条规定的企业所得税优惠政策的技术先进型服务企业必须同时符合以下条件：</w:t>
            </w:r>
          </w:p>
          <w:p w:rsidR="007960D0" w:rsidRPr="00026D40" w:rsidRDefault="007960D0" w:rsidP="00C7698F">
            <w:pPr>
              <w:snapToGrid w:val="0"/>
              <w:spacing w:line="290" w:lineRule="atLeast"/>
              <w:ind w:firstLineChars="200" w:firstLine="420"/>
              <w:rPr>
                <w:rFonts w:ascii="SimSun" w:hAnsi="SimSun"/>
                <w:szCs w:val="21"/>
              </w:rPr>
            </w:pPr>
            <w:r w:rsidRPr="00026D40">
              <w:rPr>
                <w:rFonts w:ascii="SimSun" w:hAnsi="SimSun" w:hint="eastAsia"/>
                <w:szCs w:val="21"/>
              </w:rPr>
              <w:t>1.从事《技术先进型服务业务认定范围（试行）》（详见附件）中的一种或多种技术先进型服务业务，采用先进技术或具备较强的研发能力；</w:t>
            </w:r>
          </w:p>
          <w:p w:rsidR="007960D0" w:rsidRPr="00026D40" w:rsidRDefault="007960D0" w:rsidP="00C7698F">
            <w:pPr>
              <w:snapToGrid w:val="0"/>
              <w:spacing w:line="290" w:lineRule="atLeast"/>
              <w:ind w:firstLineChars="200" w:firstLine="420"/>
              <w:rPr>
                <w:rFonts w:ascii="SimSun" w:hAnsi="SimSun"/>
                <w:szCs w:val="21"/>
              </w:rPr>
            </w:pPr>
            <w:r w:rsidRPr="00026D40">
              <w:rPr>
                <w:rFonts w:ascii="SimSun" w:hAnsi="SimSun" w:hint="eastAsia"/>
                <w:szCs w:val="21"/>
              </w:rPr>
              <w:t>2.企业的注册地及生产经营地在示范城市（含所辖区、县、县级市等全部行政区划）内；</w:t>
            </w:r>
          </w:p>
          <w:p w:rsidR="00653715" w:rsidRDefault="007960D0" w:rsidP="00C7698F">
            <w:pPr>
              <w:snapToGrid w:val="0"/>
              <w:spacing w:line="290" w:lineRule="atLeast"/>
              <w:ind w:firstLineChars="200" w:firstLine="420"/>
              <w:rPr>
                <w:rFonts w:ascii="SimSun" w:eastAsiaTheme="minorEastAsia" w:hAnsi="SimSun" w:hint="eastAsia"/>
                <w:szCs w:val="21"/>
                <w:lang w:eastAsia="ko-KR"/>
              </w:rPr>
            </w:pPr>
            <w:r w:rsidRPr="00026D40">
              <w:rPr>
                <w:rFonts w:ascii="SimSun" w:hAnsi="SimSun" w:hint="eastAsia"/>
                <w:szCs w:val="21"/>
              </w:rPr>
              <w:t>3.企业具有法人资格，近两年在进出口业务管理、财务管理、税收管理、外汇管理、海关管理等方面无违法行</w:t>
            </w:r>
          </w:p>
          <w:p w:rsidR="00653715" w:rsidRDefault="00653715" w:rsidP="00C7698F">
            <w:pPr>
              <w:snapToGrid w:val="0"/>
              <w:spacing w:line="290" w:lineRule="atLeast"/>
              <w:ind w:firstLineChars="200" w:firstLine="420"/>
              <w:rPr>
                <w:rFonts w:ascii="SimSun" w:eastAsiaTheme="minorEastAsia" w:hAnsi="SimSun" w:hint="eastAsia"/>
                <w:szCs w:val="21"/>
                <w:lang w:eastAsia="ko-KR"/>
              </w:rPr>
            </w:pPr>
          </w:p>
          <w:p w:rsidR="007960D0" w:rsidRPr="00026D40" w:rsidRDefault="007960D0" w:rsidP="00653715">
            <w:pPr>
              <w:snapToGrid w:val="0"/>
              <w:spacing w:line="290" w:lineRule="atLeast"/>
              <w:rPr>
                <w:rFonts w:ascii="SimSun" w:hAnsi="SimSun"/>
                <w:szCs w:val="21"/>
              </w:rPr>
            </w:pPr>
            <w:r w:rsidRPr="00026D40">
              <w:rPr>
                <w:rFonts w:ascii="SimSun" w:hAnsi="SimSun" w:hint="eastAsia"/>
                <w:szCs w:val="21"/>
              </w:rPr>
              <w:lastRenderedPageBreak/>
              <w:t>为；</w:t>
            </w:r>
          </w:p>
          <w:p w:rsidR="007960D0" w:rsidRPr="00026D40" w:rsidRDefault="007960D0" w:rsidP="00C7698F">
            <w:pPr>
              <w:snapToGrid w:val="0"/>
              <w:spacing w:line="290" w:lineRule="atLeast"/>
              <w:ind w:firstLineChars="200" w:firstLine="420"/>
              <w:rPr>
                <w:rFonts w:ascii="SimSun" w:hAnsi="SimSun"/>
                <w:szCs w:val="21"/>
              </w:rPr>
            </w:pPr>
            <w:r w:rsidRPr="00026D40">
              <w:rPr>
                <w:rFonts w:ascii="SimSun" w:hAnsi="SimSun" w:hint="eastAsia"/>
                <w:szCs w:val="21"/>
              </w:rPr>
              <w:t>4.具有大专以上学历的员工占企业职工总数的50%以上；</w:t>
            </w:r>
          </w:p>
          <w:p w:rsidR="007960D0" w:rsidRPr="00434D89" w:rsidRDefault="007960D0" w:rsidP="00434D89">
            <w:pPr>
              <w:snapToGrid w:val="0"/>
              <w:spacing w:line="290" w:lineRule="atLeast"/>
              <w:ind w:firstLineChars="200" w:firstLine="404"/>
              <w:rPr>
                <w:rFonts w:ascii="SimSun" w:hAnsi="SimSun"/>
                <w:spacing w:val="-4"/>
                <w:szCs w:val="21"/>
              </w:rPr>
            </w:pPr>
            <w:r w:rsidRPr="00434D89">
              <w:rPr>
                <w:rFonts w:ascii="SimSun" w:hAnsi="SimSun" w:hint="eastAsia"/>
                <w:spacing w:val="-4"/>
                <w:szCs w:val="21"/>
              </w:rPr>
              <w:t>5.从事《技术先进型服务业务认定范围（试行）》中的技术先进型服务业务取得的收入占企业当年总收入的50%以上。</w:t>
            </w:r>
          </w:p>
          <w:p w:rsidR="007960D0" w:rsidRPr="00026D40" w:rsidRDefault="007960D0" w:rsidP="00C7698F">
            <w:pPr>
              <w:snapToGrid w:val="0"/>
              <w:spacing w:line="290" w:lineRule="atLeast"/>
              <w:ind w:firstLineChars="200" w:firstLine="420"/>
              <w:rPr>
                <w:rFonts w:ascii="SimSun" w:hAnsi="SimSun"/>
                <w:szCs w:val="21"/>
              </w:rPr>
            </w:pPr>
            <w:r w:rsidRPr="00026D40">
              <w:rPr>
                <w:rFonts w:ascii="SimSun" w:hAnsi="SimSun" w:hint="eastAsia"/>
                <w:szCs w:val="21"/>
              </w:rPr>
              <w:t>6.从事离岸服务外包业务取得的收入不低于企业当年总收入的50%。</w:t>
            </w:r>
          </w:p>
          <w:p w:rsidR="007960D0" w:rsidRPr="00026D40" w:rsidRDefault="007960D0" w:rsidP="00C7698F">
            <w:pPr>
              <w:snapToGrid w:val="0"/>
              <w:spacing w:line="290" w:lineRule="atLeast"/>
              <w:ind w:firstLineChars="200" w:firstLine="420"/>
              <w:rPr>
                <w:rFonts w:ascii="SimSun" w:hAnsi="SimSun" w:hint="eastAsia"/>
                <w:szCs w:val="21"/>
              </w:rPr>
            </w:pPr>
            <w:r w:rsidRPr="00026D40">
              <w:rPr>
                <w:rFonts w:ascii="SimSun" w:hAnsi="SimSun" w:hint="eastAsia"/>
                <w:szCs w:val="21"/>
              </w:rPr>
              <w:t>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rsidR="007960D0" w:rsidRPr="00026D40" w:rsidRDefault="007960D0" w:rsidP="00C7698F">
            <w:pPr>
              <w:snapToGrid w:val="0"/>
              <w:spacing w:line="290" w:lineRule="atLeast"/>
              <w:ind w:firstLineChars="200" w:firstLine="420"/>
              <w:rPr>
                <w:rFonts w:ascii="SimSun" w:hAnsi="SimSun"/>
                <w:szCs w:val="21"/>
              </w:rPr>
            </w:pPr>
          </w:p>
          <w:p w:rsidR="007960D0" w:rsidRPr="00434D89" w:rsidRDefault="007960D0" w:rsidP="00434D89">
            <w:pPr>
              <w:snapToGrid w:val="0"/>
              <w:spacing w:line="290" w:lineRule="atLeast"/>
              <w:ind w:firstLineChars="200" w:firstLine="404"/>
              <w:rPr>
                <w:rFonts w:ascii="SimSun" w:hAnsi="SimSun"/>
                <w:spacing w:val="-4"/>
                <w:szCs w:val="21"/>
              </w:rPr>
            </w:pPr>
            <w:r w:rsidRPr="00434D89">
              <w:rPr>
                <w:rFonts w:ascii="SimSun" w:hAnsi="SimSun" w:hint="eastAsia"/>
                <w:spacing w:val="-4"/>
                <w:szCs w:val="21"/>
              </w:rPr>
              <w:t>三、技术先进型服务企业的认定管理</w:t>
            </w:r>
          </w:p>
          <w:p w:rsidR="007960D0" w:rsidRPr="00026D40" w:rsidRDefault="007960D0" w:rsidP="00C7698F">
            <w:pPr>
              <w:snapToGrid w:val="0"/>
              <w:spacing w:line="290" w:lineRule="atLeast"/>
              <w:ind w:firstLineChars="200" w:firstLine="420"/>
              <w:rPr>
                <w:rFonts w:ascii="SimSun" w:hAnsi="SimSun"/>
                <w:szCs w:val="21"/>
              </w:rPr>
            </w:pPr>
            <w:r w:rsidRPr="00026D40">
              <w:rPr>
                <w:rFonts w:ascii="SimSun" w:hAnsi="SimSun" w:hint="eastAsia"/>
                <w:szCs w:val="21"/>
              </w:rPr>
              <w:t>1.示范城市人民政府科技部门会同本级商务、财政、税务和发展改革部门根据本通知规定制定具体管理办法，并报科技部、商务部、财政部、国家税务总局和国家发展改革委及所在省（直辖市、计划单列市）科技、商务、财政、税务和发展改革部门备案。</w:t>
            </w:r>
          </w:p>
          <w:p w:rsidR="007960D0" w:rsidRPr="00026D40" w:rsidRDefault="007960D0" w:rsidP="00C7698F">
            <w:pPr>
              <w:snapToGrid w:val="0"/>
              <w:spacing w:line="290" w:lineRule="atLeast"/>
              <w:ind w:firstLineChars="200" w:firstLine="420"/>
              <w:rPr>
                <w:rFonts w:ascii="SimSun" w:hAnsi="SimSun"/>
                <w:szCs w:val="21"/>
              </w:rPr>
            </w:pPr>
            <w:r w:rsidRPr="00026D40">
              <w:rPr>
                <w:rFonts w:ascii="SimSun" w:hAnsi="SimSun" w:hint="eastAsia"/>
                <w:szCs w:val="21"/>
              </w:rPr>
              <w:t>示范城市所在省（直辖市、计划单列市）科技部门会同本级商务、财政、税务和发展改革部门负责指导所辖示范城市的技术先进型服务企业认定管理工作。</w:t>
            </w:r>
          </w:p>
          <w:p w:rsidR="007960D0" w:rsidRPr="00434D89" w:rsidRDefault="007960D0" w:rsidP="00434D89">
            <w:pPr>
              <w:snapToGrid w:val="0"/>
              <w:spacing w:line="290" w:lineRule="atLeast"/>
              <w:ind w:firstLineChars="200" w:firstLine="444"/>
              <w:rPr>
                <w:rFonts w:ascii="SimSun" w:hAnsi="SimSun"/>
                <w:spacing w:val="6"/>
                <w:szCs w:val="21"/>
              </w:rPr>
            </w:pPr>
            <w:r w:rsidRPr="00434D89">
              <w:rPr>
                <w:rFonts w:ascii="SimSun" w:hAnsi="SimSun" w:hint="eastAsia"/>
                <w:spacing w:val="6"/>
                <w:szCs w:val="21"/>
              </w:rPr>
              <w:t>2.符合条件的技术先进型服务企业应向所在示范城市人民政府科技部门提出申请，由示范城市人民政府科技部门会同本级商务、财政、税务和发展改革部门联合评审并发文认定。认定企业名单应及时报科技部、商务部、财政部、国家税务总局和国家发展改革委及所在省（直辖市、计划单列市）科技、商务、财政、税务和发展改革部门备案。</w:t>
            </w:r>
          </w:p>
          <w:p w:rsidR="007960D0" w:rsidRPr="00434D89" w:rsidRDefault="007960D0" w:rsidP="00434D89">
            <w:pPr>
              <w:snapToGrid w:val="0"/>
              <w:spacing w:line="290" w:lineRule="atLeast"/>
              <w:ind w:firstLineChars="200" w:firstLine="500"/>
              <w:rPr>
                <w:rFonts w:ascii="SimSun" w:hAnsi="SimSun"/>
                <w:spacing w:val="20"/>
                <w:szCs w:val="21"/>
              </w:rPr>
            </w:pPr>
            <w:r w:rsidRPr="00434D89">
              <w:rPr>
                <w:rFonts w:ascii="SimSun" w:hAnsi="SimSun" w:hint="eastAsia"/>
                <w:spacing w:val="20"/>
                <w:szCs w:val="21"/>
              </w:rPr>
              <w:t>3.经认定的技术先进型服务企业，持相关认定文件向当地主管税务机关办理享受本通知第一条规定的企业所得税优惠政策事宜。享受企业所得税优惠的技术</w:t>
            </w:r>
            <w:r w:rsidRPr="00434D89">
              <w:rPr>
                <w:rFonts w:ascii="SimSun" w:hAnsi="SimSun" w:hint="eastAsia"/>
                <w:spacing w:val="20"/>
                <w:szCs w:val="21"/>
              </w:rPr>
              <w:lastRenderedPageBreak/>
              <w:t>先进型服务企业条件发生变化的，应当自发生变化之日起15日内向主管税务机关报告；不再符合享受税收优惠条件的，应当依法履行纳税义务。主管税务机关在执行税收优惠政策过程中，发现企业不具备技术先进型服务企业资格的，应暂停企业享受税收优惠，并提请认定机构复核。</w:t>
            </w:r>
          </w:p>
          <w:p w:rsidR="007960D0" w:rsidRPr="00026D40" w:rsidRDefault="007960D0" w:rsidP="00C7698F">
            <w:pPr>
              <w:snapToGrid w:val="0"/>
              <w:spacing w:line="290" w:lineRule="atLeast"/>
              <w:ind w:firstLineChars="200" w:firstLine="420"/>
              <w:rPr>
                <w:rFonts w:ascii="SimSun" w:hAnsi="SimSun" w:hint="eastAsia"/>
                <w:szCs w:val="21"/>
              </w:rPr>
            </w:pPr>
            <w:r w:rsidRPr="00026D40">
              <w:rPr>
                <w:rFonts w:ascii="SimSun" w:hAnsi="SimSun" w:hint="eastAsia"/>
                <w:szCs w:val="21"/>
              </w:rPr>
              <w:t>4.示范城市人民政府科技、商务、财政、税务和发展改革部门及所在省（直辖市、计划单列市）科技、商务、财政、税务和发展改革部门对经认定并享受税收优惠政策的技术先进型服务企业应做好跟踪管理，对变更经营范围、合并、分立、转业、迁移的企业，如不符合认定条件的，应及时取消其享受税收优惠政策的资格。</w:t>
            </w:r>
          </w:p>
          <w:p w:rsidR="007960D0" w:rsidRPr="00026D40" w:rsidRDefault="007960D0" w:rsidP="00C7698F">
            <w:pPr>
              <w:snapToGrid w:val="0"/>
              <w:spacing w:line="290" w:lineRule="atLeast"/>
              <w:ind w:firstLineChars="200" w:firstLine="420"/>
              <w:rPr>
                <w:rFonts w:ascii="SimSun" w:hAnsi="SimSun"/>
                <w:szCs w:val="21"/>
              </w:rPr>
            </w:pPr>
          </w:p>
          <w:p w:rsidR="007960D0" w:rsidRPr="00026D40" w:rsidRDefault="007960D0" w:rsidP="00C7698F">
            <w:pPr>
              <w:snapToGrid w:val="0"/>
              <w:spacing w:line="290" w:lineRule="atLeast"/>
              <w:ind w:firstLineChars="200" w:firstLine="420"/>
              <w:rPr>
                <w:rFonts w:ascii="SimSun" w:hAnsi="SimSun" w:hint="eastAsia"/>
                <w:szCs w:val="21"/>
              </w:rPr>
            </w:pPr>
            <w:r w:rsidRPr="00026D40">
              <w:rPr>
                <w:rFonts w:ascii="SimSun" w:hAnsi="SimSun" w:hint="eastAsia"/>
                <w:szCs w:val="21"/>
              </w:rPr>
              <w:t>四、示范城市人民政府财政、税务、商务、科技和发展改革部门要认真贯彻落实本通知的各项规定，切实搞好沟通与协作。在政策实施过程中发现的问题，要及时逐级反映上报财政部、国家税务总局、商务部、科技部和国家发展改革委。</w:t>
            </w:r>
          </w:p>
          <w:p w:rsidR="007960D0" w:rsidRPr="00026D40" w:rsidRDefault="007960D0" w:rsidP="00C7698F">
            <w:pPr>
              <w:snapToGrid w:val="0"/>
              <w:spacing w:line="290" w:lineRule="atLeast"/>
              <w:ind w:firstLineChars="200" w:firstLine="420"/>
              <w:rPr>
                <w:rFonts w:ascii="SimSun" w:hAnsi="SimSun"/>
                <w:szCs w:val="21"/>
              </w:rPr>
            </w:pPr>
          </w:p>
          <w:p w:rsidR="007960D0" w:rsidRPr="00026D40" w:rsidRDefault="007960D0" w:rsidP="00C7698F">
            <w:pPr>
              <w:snapToGrid w:val="0"/>
              <w:spacing w:line="290" w:lineRule="atLeast"/>
              <w:ind w:firstLineChars="200" w:firstLine="420"/>
              <w:rPr>
                <w:rFonts w:ascii="SimSun" w:hAnsi="SimSun" w:hint="eastAsia"/>
                <w:szCs w:val="21"/>
              </w:rPr>
            </w:pPr>
            <w:r w:rsidRPr="00026D40">
              <w:rPr>
                <w:rFonts w:ascii="SimSun" w:hAnsi="SimSun" w:hint="eastAsia"/>
                <w:szCs w:val="21"/>
              </w:rPr>
              <w:t>五、《财政部 国家税务总局 商务部 科技部 国家发展改革委关于技术先进型服务企业有关税收政策问题的通知》（财税[2009]63号）自</w:t>
            </w:r>
            <w:smartTag w:uri="urn:schemas-microsoft-com:office:smarttags" w:element="chsdate">
              <w:smartTagPr>
                <w:attr w:name="IsROCDate" w:val="False"/>
                <w:attr w:name="IsLunarDate" w:val="False"/>
                <w:attr w:name="Day" w:val="1"/>
                <w:attr w:name="Month" w:val="7"/>
                <w:attr w:name="Year" w:val="2010"/>
              </w:smartTagPr>
              <w:r w:rsidRPr="00026D40">
                <w:rPr>
                  <w:rFonts w:ascii="SimSun" w:hAnsi="SimSun" w:hint="eastAsia"/>
                  <w:szCs w:val="21"/>
                </w:rPr>
                <w:t>2010年7月1日起</w:t>
              </w:r>
            </w:smartTag>
            <w:r w:rsidRPr="00026D40">
              <w:rPr>
                <w:rFonts w:ascii="SimSun" w:hAnsi="SimSun" w:hint="eastAsia"/>
                <w:szCs w:val="21"/>
              </w:rPr>
              <w:t>废止。</w:t>
            </w:r>
          </w:p>
          <w:p w:rsidR="007960D0" w:rsidRPr="00026D40" w:rsidRDefault="007960D0" w:rsidP="00C7698F">
            <w:pPr>
              <w:snapToGrid w:val="0"/>
              <w:spacing w:line="290" w:lineRule="atLeast"/>
              <w:ind w:firstLineChars="200" w:firstLine="420"/>
              <w:rPr>
                <w:rFonts w:ascii="SimSun" w:hAnsi="SimSun"/>
                <w:szCs w:val="21"/>
              </w:rPr>
            </w:pPr>
          </w:p>
          <w:p w:rsidR="007960D0" w:rsidRPr="00026D40" w:rsidRDefault="007960D0" w:rsidP="00C7698F">
            <w:pPr>
              <w:snapToGrid w:val="0"/>
              <w:spacing w:line="290" w:lineRule="atLeast"/>
              <w:ind w:firstLineChars="200" w:firstLine="420"/>
              <w:rPr>
                <w:rFonts w:ascii="SimSun" w:hAnsi="SimSun" w:hint="eastAsia"/>
                <w:szCs w:val="21"/>
              </w:rPr>
            </w:pPr>
            <w:r w:rsidRPr="00026D40">
              <w:rPr>
                <w:rFonts w:ascii="SimSun" w:hAnsi="SimSun" w:hint="eastAsia"/>
                <w:szCs w:val="21"/>
              </w:rPr>
              <w:t>附件：技术先进型服务业务认定范围（试行）</w:t>
            </w:r>
          </w:p>
          <w:p w:rsidR="007960D0" w:rsidRPr="006006B4" w:rsidRDefault="007960D0" w:rsidP="006006B4">
            <w:pPr>
              <w:snapToGrid w:val="0"/>
              <w:spacing w:line="290" w:lineRule="atLeast"/>
              <w:ind w:firstLineChars="200" w:firstLine="420"/>
              <w:rPr>
                <w:rFonts w:ascii="SimSun" w:eastAsiaTheme="minorEastAsia" w:hAnsi="SimSun" w:hint="eastAsia"/>
                <w:spacing w:val="-8"/>
                <w:szCs w:val="21"/>
                <w:lang w:eastAsia="ko-KR"/>
              </w:rPr>
            </w:pPr>
            <w:hyperlink r:id="rId7" w:history="1">
              <w:r w:rsidRPr="006006B4">
                <w:rPr>
                  <w:rStyle w:val="a6"/>
                  <w:rFonts w:ascii="SimSun" w:hAnsi="SimSun"/>
                  <w:spacing w:val="-8"/>
                  <w:szCs w:val="21"/>
                </w:rPr>
                <w:t>http://www.gov.cn/gzdt/att/att/site1/20101119/0011431e80bc0e507f1801.doc</w:t>
              </w:r>
            </w:hyperlink>
          </w:p>
          <w:p w:rsidR="007960D0" w:rsidRDefault="007960D0" w:rsidP="00C7698F">
            <w:pPr>
              <w:snapToGrid w:val="0"/>
              <w:spacing w:line="290" w:lineRule="atLeast"/>
              <w:ind w:firstLineChars="200" w:firstLine="420"/>
              <w:jc w:val="right"/>
              <w:rPr>
                <w:rFonts w:ascii="SimSun" w:eastAsiaTheme="minorEastAsia" w:hAnsi="SimSun" w:hint="eastAsia"/>
                <w:szCs w:val="21"/>
                <w:lang w:eastAsia="ko-KR"/>
              </w:rPr>
            </w:pPr>
          </w:p>
          <w:p w:rsidR="006006B4" w:rsidRPr="006006B4" w:rsidRDefault="006006B4" w:rsidP="00C7698F">
            <w:pPr>
              <w:snapToGrid w:val="0"/>
              <w:spacing w:line="290" w:lineRule="atLeast"/>
              <w:ind w:firstLineChars="200" w:firstLine="420"/>
              <w:jc w:val="right"/>
              <w:rPr>
                <w:rFonts w:ascii="SimSun" w:eastAsiaTheme="minorEastAsia" w:hAnsi="SimSun" w:hint="eastAsia"/>
                <w:szCs w:val="21"/>
                <w:lang w:eastAsia="ko-KR"/>
              </w:rPr>
            </w:pPr>
          </w:p>
          <w:p w:rsidR="007960D0" w:rsidRPr="00026D40" w:rsidRDefault="007960D0" w:rsidP="006006B4">
            <w:pPr>
              <w:snapToGrid w:val="0"/>
              <w:spacing w:line="290" w:lineRule="atLeast"/>
              <w:ind w:firstLineChars="200" w:firstLine="420"/>
              <w:jc w:val="right"/>
              <w:rPr>
                <w:rFonts w:ascii="SimSun" w:hAnsi="SimSun" w:hint="eastAsia"/>
                <w:szCs w:val="21"/>
              </w:rPr>
            </w:pPr>
            <w:r w:rsidRPr="00026D40">
              <w:rPr>
                <w:rFonts w:ascii="SimSun" w:hAnsi="SimSun" w:hint="eastAsia"/>
                <w:szCs w:val="21"/>
              </w:rPr>
              <w:t xml:space="preserve">财政部　 </w:t>
            </w:r>
          </w:p>
          <w:p w:rsidR="007960D0" w:rsidRPr="00026D40" w:rsidRDefault="007960D0" w:rsidP="006006B4">
            <w:pPr>
              <w:snapToGrid w:val="0"/>
              <w:spacing w:line="290" w:lineRule="atLeast"/>
              <w:ind w:firstLineChars="200" w:firstLine="420"/>
              <w:jc w:val="right"/>
              <w:rPr>
                <w:rFonts w:ascii="SimSun" w:hAnsi="SimSun" w:hint="eastAsia"/>
                <w:szCs w:val="21"/>
              </w:rPr>
            </w:pPr>
            <w:r w:rsidRPr="00026D40">
              <w:rPr>
                <w:rFonts w:ascii="SimSun" w:hAnsi="SimSun" w:hint="eastAsia"/>
                <w:szCs w:val="21"/>
              </w:rPr>
              <w:t xml:space="preserve">国家税务总局　 </w:t>
            </w:r>
          </w:p>
          <w:p w:rsidR="007960D0" w:rsidRPr="00026D40" w:rsidRDefault="007960D0" w:rsidP="006006B4">
            <w:pPr>
              <w:snapToGrid w:val="0"/>
              <w:spacing w:line="290" w:lineRule="atLeast"/>
              <w:ind w:firstLineChars="200" w:firstLine="420"/>
              <w:jc w:val="right"/>
              <w:rPr>
                <w:rFonts w:ascii="SimSun" w:hAnsi="SimSun" w:hint="eastAsia"/>
                <w:szCs w:val="21"/>
              </w:rPr>
            </w:pPr>
            <w:r w:rsidRPr="00026D40">
              <w:rPr>
                <w:rFonts w:ascii="SimSun" w:hAnsi="SimSun" w:hint="eastAsia"/>
                <w:szCs w:val="21"/>
              </w:rPr>
              <w:t xml:space="preserve">商务部　 </w:t>
            </w:r>
          </w:p>
          <w:p w:rsidR="007960D0" w:rsidRPr="00026D40" w:rsidRDefault="007960D0" w:rsidP="006006B4">
            <w:pPr>
              <w:snapToGrid w:val="0"/>
              <w:spacing w:line="290" w:lineRule="atLeast"/>
              <w:ind w:firstLineChars="200" w:firstLine="420"/>
              <w:jc w:val="right"/>
              <w:rPr>
                <w:rFonts w:ascii="SimSun" w:hAnsi="SimSun" w:hint="eastAsia"/>
                <w:szCs w:val="21"/>
              </w:rPr>
            </w:pPr>
            <w:r w:rsidRPr="00026D40">
              <w:rPr>
                <w:rFonts w:ascii="SimSun" w:hAnsi="SimSun" w:hint="eastAsia"/>
                <w:szCs w:val="21"/>
              </w:rPr>
              <w:t>科技部</w:t>
            </w:r>
          </w:p>
          <w:p w:rsidR="007960D0" w:rsidRPr="006006B4" w:rsidRDefault="007960D0" w:rsidP="006006B4">
            <w:pPr>
              <w:snapToGrid w:val="0"/>
              <w:spacing w:line="290" w:lineRule="atLeast"/>
              <w:ind w:firstLineChars="200" w:firstLine="420"/>
              <w:jc w:val="right"/>
              <w:rPr>
                <w:rFonts w:ascii="SimSun" w:eastAsiaTheme="minorEastAsia" w:hAnsi="SimSun" w:hint="eastAsia"/>
                <w:szCs w:val="21"/>
              </w:rPr>
            </w:pPr>
            <w:r w:rsidRPr="00026D40">
              <w:rPr>
                <w:rFonts w:ascii="SimSun" w:hAnsi="SimSun" w:hint="eastAsia"/>
                <w:szCs w:val="21"/>
              </w:rPr>
              <w:t xml:space="preserve"> 国家发展改革委</w:t>
            </w:r>
          </w:p>
          <w:p w:rsidR="00C07428" w:rsidRPr="00727B55" w:rsidRDefault="007960D0" w:rsidP="00727B55">
            <w:pPr>
              <w:snapToGrid w:val="0"/>
              <w:spacing w:line="290" w:lineRule="atLeast"/>
              <w:jc w:val="right"/>
              <w:rPr>
                <w:rFonts w:ascii="SimSun" w:eastAsiaTheme="minorEastAsia" w:hAnsi="SimSun" w:hint="eastAsia"/>
                <w:szCs w:val="21"/>
              </w:rPr>
            </w:pPr>
            <w:r w:rsidRPr="00026D40">
              <w:rPr>
                <w:rFonts w:ascii="SimSun" w:hAnsi="SimSun" w:hint="eastAsia"/>
                <w:szCs w:val="21"/>
              </w:rPr>
              <w:t>二○一○年十一月五日</w:t>
            </w:r>
          </w:p>
        </w:tc>
      </w:tr>
    </w:tbl>
    <w:p w:rsidR="006A5E09" w:rsidRDefault="006A5E09"/>
    <w:sectPr w:rsidR="006A5E09" w:rsidSect="00C0742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E09" w:rsidRDefault="006A5E09" w:rsidP="00C07428">
      <w:r>
        <w:separator/>
      </w:r>
    </w:p>
  </w:endnote>
  <w:endnote w:type="continuationSeparator" w:id="1">
    <w:p w:rsidR="006A5E09" w:rsidRDefault="006A5E09" w:rsidP="00C0742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E09" w:rsidRDefault="006A5E09" w:rsidP="00C07428">
      <w:r>
        <w:separator/>
      </w:r>
    </w:p>
  </w:footnote>
  <w:footnote w:type="continuationSeparator" w:id="1">
    <w:p w:rsidR="006A5E09" w:rsidRDefault="006A5E09" w:rsidP="00C07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428"/>
    <w:rsid w:val="00026D40"/>
    <w:rsid w:val="00226369"/>
    <w:rsid w:val="00434D89"/>
    <w:rsid w:val="006006B4"/>
    <w:rsid w:val="00653715"/>
    <w:rsid w:val="006A5E09"/>
    <w:rsid w:val="00727B55"/>
    <w:rsid w:val="007960D0"/>
    <w:rsid w:val="00C07428"/>
    <w:rsid w:val="00C7698F"/>
    <w:rsid w:val="00E71AE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69"/>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428"/>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C07428"/>
  </w:style>
  <w:style w:type="paragraph" w:styleId="a4">
    <w:name w:val="footer"/>
    <w:basedOn w:val="a"/>
    <w:link w:val="Char0"/>
    <w:uiPriority w:val="99"/>
    <w:semiHidden/>
    <w:unhideWhenUsed/>
    <w:rsid w:val="00C07428"/>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C07428"/>
  </w:style>
  <w:style w:type="table" w:styleId="a5">
    <w:name w:val="Table Grid"/>
    <w:basedOn w:val="a1"/>
    <w:uiPriority w:val="59"/>
    <w:rsid w:val="00C07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2263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gzdt/att/att/site1/20101119/0011431e80bc0e507f18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gzdt/att/att/site1/20101119/0011431e80bc0e507f18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741</Words>
  <Characters>4229</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2010-11-24T01:27:00Z</dcterms:created>
  <dcterms:modified xsi:type="dcterms:W3CDTF">2010-11-24T01:42:00Z</dcterms:modified>
</cp:coreProperties>
</file>