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A1272F" w:rsidTr="00552AD5">
        <w:tc>
          <w:tcPr>
            <w:tcW w:w="4785" w:type="dxa"/>
          </w:tcPr>
          <w:p w:rsidR="001523CE" w:rsidRDefault="00AA12FE" w:rsidP="00BC204D">
            <w:pPr>
              <w:wordWrap w:val="0"/>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1523CE">
              <w:rPr>
                <w:rFonts w:ascii="한컴바탕" w:eastAsia="한컴바탕" w:hAnsi="한컴바탕" w:cs="한컴바탕"/>
                <w:b/>
                <w:sz w:val="26"/>
                <w:szCs w:val="26"/>
                <w:lang w:eastAsia="ko-KR"/>
              </w:rPr>
              <w:t>외자기업</w:t>
            </w:r>
            <w:r w:rsidRPr="001523CE">
              <w:rPr>
                <w:rFonts w:ascii="한컴바탕" w:eastAsia="한컴바탕" w:hAnsi="한컴바탕" w:cs="한컴바탕" w:hint="eastAsia"/>
                <w:b/>
                <w:sz w:val="26"/>
                <w:szCs w:val="26"/>
                <w:lang w:eastAsia="ko-KR"/>
              </w:rPr>
              <w:t>에</w:t>
            </w:r>
            <w:r w:rsidRPr="001523CE">
              <w:rPr>
                <w:rFonts w:ascii="한컴바탕" w:eastAsia="한컴바탕" w:hAnsi="한컴바탕" w:cs="한컴바탕"/>
                <w:b/>
                <w:sz w:val="26"/>
                <w:szCs w:val="26"/>
                <w:lang w:eastAsia="ko-KR"/>
              </w:rPr>
              <w:t xml:space="preserve"> 도시보호건설세 및 </w:t>
            </w:r>
          </w:p>
          <w:p w:rsidR="001523CE" w:rsidRDefault="00AA12FE" w:rsidP="001523CE">
            <w:pPr>
              <w:wordWrap w:val="0"/>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1523CE">
              <w:rPr>
                <w:rFonts w:ascii="한컴바탕" w:eastAsia="한컴바탕" w:hAnsi="한컴바탕" w:cs="한컴바탕"/>
                <w:b/>
                <w:sz w:val="26"/>
                <w:szCs w:val="26"/>
                <w:lang w:eastAsia="ko-KR"/>
              </w:rPr>
              <w:t>교육비부</w:t>
            </w:r>
            <w:r w:rsidRPr="001523CE">
              <w:rPr>
                <w:rFonts w:ascii="한컴바탕" w:eastAsia="한컴바탕" w:hAnsi="한컴바탕" w:cs="한컴바탕" w:hint="eastAsia"/>
                <w:b/>
                <w:sz w:val="26"/>
                <w:szCs w:val="26"/>
                <w:lang w:eastAsia="ko-KR"/>
              </w:rPr>
              <w:t>과 징수</w:t>
            </w:r>
            <w:r w:rsidRPr="001523CE">
              <w:rPr>
                <w:rFonts w:ascii="한컴바탕" w:eastAsia="한컴바탕" w:hAnsi="한컴바탕" w:cs="한컴바탕"/>
                <w:b/>
                <w:sz w:val="26"/>
                <w:szCs w:val="26"/>
                <w:lang w:eastAsia="ko-KR"/>
              </w:rPr>
              <w:t xml:space="preserve"> 유관문제에 관한 </w:t>
            </w:r>
          </w:p>
          <w:p w:rsidR="00AA12FE" w:rsidRPr="001523CE" w:rsidRDefault="00AA12FE" w:rsidP="001523CE">
            <w:pPr>
              <w:wordWrap w:val="0"/>
              <w:autoSpaceDN w:val="0"/>
              <w:adjustRightInd w:val="0"/>
              <w:snapToGrid w:val="0"/>
              <w:spacing w:line="290" w:lineRule="atLeast"/>
              <w:jc w:val="center"/>
              <w:rPr>
                <w:rFonts w:ascii="한컴바탕" w:eastAsia="한컴바탕" w:hAnsi="한컴바탕" w:cs="한컴바탕"/>
                <w:b/>
                <w:sz w:val="26"/>
                <w:szCs w:val="26"/>
                <w:lang w:eastAsia="ko-KR"/>
              </w:rPr>
            </w:pPr>
            <w:r w:rsidRPr="001523CE">
              <w:rPr>
                <w:rFonts w:ascii="한컴바탕" w:eastAsia="한컴바탕" w:hAnsi="한컴바탕" w:cs="한컴바탕"/>
                <w:b/>
                <w:sz w:val="26"/>
                <w:szCs w:val="26"/>
                <w:lang w:eastAsia="ko-KR"/>
              </w:rPr>
              <w:t>통지</w:t>
            </w:r>
          </w:p>
          <w:p w:rsidR="00AA12FE" w:rsidRPr="00BC204D" w:rsidRDefault="00AA12FE" w:rsidP="00BC204D">
            <w:pPr>
              <w:wordWrap w:val="0"/>
              <w:autoSpaceDN w:val="0"/>
              <w:adjustRightInd w:val="0"/>
              <w:snapToGrid w:val="0"/>
              <w:spacing w:line="290" w:lineRule="atLeast"/>
              <w:jc w:val="center"/>
              <w:rPr>
                <w:rFonts w:ascii="한컴바탕" w:eastAsia="한컴바탕" w:hAnsi="한컴바탕" w:cs="한컴바탕"/>
                <w:szCs w:val="21"/>
                <w:lang w:eastAsia="ko-KR"/>
              </w:rPr>
            </w:pPr>
            <w:r w:rsidRPr="00BC204D">
              <w:rPr>
                <w:rFonts w:ascii="한컴바탕" w:eastAsia="한컴바탕" w:hAnsi="한컴바탕" w:cs="한컴바탕"/>
                <w:szCs w:val="21"/>
                <w:lang w:eastAsia="ko-KR"/>
              </w:rPr>
              <w:t xml:space="preserve">재세[2010]103호 </w:t>
            </w:r>
          </w:p>
          <w:p w:rsidR="00AA12FE" w:rsidRDefault="00AA12FE" w:rsidP="00BC204D">
            <w:pPr>
              <w:wordWrap w:val="0"/>
              <w:overflowPunct w:val="0"/>
              <w:topLinePunct/>
              <w:autoSpaceDN w:val="0"/>
              <w:adjustRightInd w:val="0"/>
              <w:snapToGrid w:val="0"/>
              <w:spacing w:line="290" w:lineRule="atLeast"/>
              <w:rPr>
                <w:rFonts w:ascii="한컴바탕" w:eastAsia="한컴바탕" w:hAnsi="한컴바탕" w:cs="한컴바탕" w:hint="eastAsia"/>
                <w:szCs w:val="21"/>
                <w:lang w:eastAsia="ko-KR"/>
              </w:rPr>
            </w:pPr>
          </w:p>
          <w:p w:rsidR="00237BB1" w:rsidRPr="00BC204D" w:rsidRDefault="00237BB1" w:rsidP="00BC204D">
            <w:pPr>
              <w:wordWrap w:val="0"/>
              <w:overflowPunct w:val="0"/>
              <w:topLinePunct/>
              <w:autoSpaceDN w:val="0"/>
              <w:adjustRightInd w:val="0"/>
              <w:snapToGrid w:val="0"/>
              <w:spacing w:line="290" w:lineRule="atLeast"/>
              <w:rPr>
                <w:rFonts w:ascii="한컴바탕" w:eastAsia="한컴바탕" w:hAnsi="한컴바탕" w:cs="한컴바탕" w:hint="eastAsia"/>
                <w:szCs w:val="21"/>
                <w:lang w:eastAsia="ko-KR"/>
              </w:rPr>
            </w:pPr>
          </w:p>
          <w:p w:rsidR="00AA12FE" w:rsidRPr="00BC204D" w:rsidRDefault="00AA12FE" w:rsidP="00BC204D">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BC204D">
              <w:rPr>
                <w:rFonts w:ascii="한컴바탕" w:eastAsia="한컴바탕" w:hAnsi="한컴바탕" w:cs="한컴바탕" w:hint="eastAsia"/>
                <w:szCs w:val="21"/>
                <w:lang w:eastAsia="ko-KR"/>
              </w:rPr>
              <w:t xml:space="preserve">각 성, 자치구, 직할시, 계획단열시 재정청(국), 국가세무국, 지방세무국, 신강생산건설병단 재무국: </w:t>
            </w:r>
          </w:p>
          <w:p w:rsidR="00AA12FE" w:rsidRPr="00BC204D" w:rsidRDefault="00AA12FE" w:rsidP="00BC204D">
            <w:pPr>
              <w:wordWrap w:val="0"/>
              <w:overflowPunct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BC204D">
              <w:rPr>
                <w:rFonts w:ascii="한컴바탕" w:eastAsia="한컴바탕" w:hAnsi="한컴바탕" w:cs="한컴바탕" w:hint="eastAsia"/>
                <w:szCs w:val="21"/>
                <w:lang w:eastAsia="ko-KR"/>
              </w:rPr>
              <w:t xml:space="preserve">《국무원 내외자기업과 개인에 도시보호건설세 및 교육비 일률 부과제도에 관한 통지》(국발 [2010] 35호)의 결정에 근거하여 2010년 12월 1월부터 외상투자기업, 외국기업 및 외국 국적 개인(이하 </w:t>
            </w:r>
            <w:r w:rsidRPr="00BC204D">
              <w:rPr>
                <w:rFonts w:ascii="한컴바탕" w:eastAsia="한컴바탕" w:hAnsi="한컴바탕" w:cs="한컴바탕"/>
                <w:szCs w:val="21"/>
                <w:lang w:eastAsia="ko-KR"/>
              </w:rPr>
              <w:t>‘</w:t>
            </w:r>
            <w:r w:rsidRPr="00BC204D">
              <w:rPr>
                <w:rFonts w:ascii="한컴바탕" w:eastAsia="한컴바탕" w:hAnsi="한컴바탕" w:cs="한컴바탕" w:hint="eastAsia"/>
                <w:szCs w:val="21"/>
                <w:lang w:eastAsia="ko-KR"/>
              </w:rPr>
              <w:t>외자기업</w:t>
            </w:r>
            <w:r w:rsidRPr="00BC204D">
              <w:rPr>
                <w:rFonts w:ascii="한컴바탕" w:eastAsia="한컴바탕" w:hAnsi="한컴바탕" w:cs="한컴바탕"/>
                <w:szCs w:val="21"/>
                <w:lang w:eastAsia="ko-KR"/>
              </w:rPr>
              <w:t>’</w:t>
            </w:r>
            <w:r w:rsidRPr="00BC204D">
              <w:rPr>
                <w:rFonts w:ascii="한컴바탕" w:eastAsia="한컴바탕" w:hAnsi="한컴바탕" w:cs="한컴바탕" w:hint="eastAsia"/>
                <w:szCs w:val="21"/>
                <w:lang w:eastAsia="ko-KR"/>
              </w:rPr>
              <w:t>)에게 도시보호건설세와 교육비를 부과징수 하기로 한 바, 유관문제를 아래와 같이 통지한다.</w:t>
            </w:r>
          </w:p>
          <w:p w:rsidR="00AA12FE" w:rsidRPr="00634589" w:rsidRDefault="00AA12FE" w:rsidP="00634589">
            <w:pPr>
              <w:wordWrap w:val="0"/>
              <w:overflowPunct w:val="0"/>
              <w:topLinePunct/>
              <w:autoSpaceDN w:val="0"/>
              <w:adjustRightInd w:val="0"/>
              <w:snapToGrid w:val="0"/>
              <w:spacing w:line="290" w:lineRule="atLeast"/>
              <w:ind w:firstLineChars="100" w:firstLine="222"/>
              <w:rPr>
                <w:rFonts w:ascii="한컴바탕" w:eastAsia="한컴바탕" w:hAnsi="한컴바탕" w:cs="한컴바탕" w:hint="eastAsia"/>
                <w:spacing w:val="6"/>
                <w:szCs w:val="21"/>
                <w:lang w:eastAsia="ko-KR"/>
              </w:rPr>
            </w:pPr>
            <w:r w:rsidRPr="00634589">
              <w:rPr>
                <w:rFonts w:ascii="한컴바탕" w:eastAsia="한컴바탕" w:hAnsi="한컴바탕" w:cs="한컴바탕" w:hint="eastAsia"/>
                <w:spacing w:val="6"/>
                <w:szCs w:val="21"/>
                <w:lang w:eastAsia="ko-KR"/>
              </w:rPr>
              <w:t xml:space="preserve">외자기업에게 2010년 12월 1일(1일 포함)이후 납세의무가 발생하는 증치세, 소비세, 영업세(이하 </w:t>
            </w:r>
            <w:r w:rsidRPr="00634589">
              <w:rPr>
                <w:rFonts w:ascii="한컴바탕" w:eastAsia="한컴바탕" w:hAnsi="한컴바탕" w:cs="한컴바탕"/>
                <w:spacing w:val="6"/>
                <w:szCs w:val="21"/>
                <w:lang w:eastAsia="ko-KR"/>
              </w:rPr>
              <w:t>‘</w:t>
            </w:r>
            <w:r w:rsidRPr="00634589">
              <w:rPr>
                <w:rFonts w:ascii="한컴바탕" w:eastAsia="한컴바탕" w:hAnsi="한컴바탕" w:cs="한컴바탕" w:hint="eastAsia"/>
                <w:spacing w:val="6"/>
                <w:szCs w:val="21"/>
                <w:lang w:eastAsia="ko-KR"/>
              </w:rPr>
              <w:t>3세</w:t>
            </w:r>
            <w:r w:rsidRPr="00634589">
              <w:rPr>
                <w:rFonts w:ascii="한컴바탕" w:eastAsia="한컴바탕" w:hAnsi="한컴바탕" w:cs="한컴바탕"/>
                <w:spacing w:val="6"/>
                <w:szCs w:val="21"/>
                <w:lang w:eastAsia="ko-KR"/>
              </w:rPr>
              <w:t>’</w:t>
            </w:r>
            <w:r w:rsidRPr="00634589">
              <w:rPr>
                <w:rFonts w:ascii="한컴바탕" w:eastAsia="한컴바탕" w:hAnsi="한컴바탕" w:cs="한컴바탕" w:hint="eastAsia"/>
                <w:spacing w:val="6"/>
                <w:szCs w:val="21"/>
                <w:lang w:eastAsia="ko-KR"/>
              </w:rPr>
              <w:t xml:space="preserve">)에 대해 도시보호건설세와 교육비를 부과한다. 외자기업의 2010년 12월 1일 이전 납세의무가 발생한 </w:t>
            </w:r>
            <w:r w:rsidRPr="00634589">
              <w:rPr>
                <w:rFonts w:ascii="한컴바탕" w:eastAsia="한컴바탕" w:hAnsi="한컴바탕" w:cs="한컴바탕"/>
                <w:spacing w:val="6"/>
                <w:szCs w:val="21"/>
                <w:lang w:eastAsia="ko-KR"/>
              </w:rPr>
              <w:t>‘</w:t>
            </w:r>
            <w:r w:rsidRPr="00634589">
              <w:rPr>
                <w:rFonts w:ascii="한컴바탕" w:eastAsia="한컴바탕" w:hAnsi="한컴바탕" w:cs="한컴바탕" w:hint="eastAsia"/>
                <w:spacing w:val="6"/>
                <w:szCs w:val="21"/>
                <w:lang w:eastAsia="ko-KR"/>
              </w:rPr>
              <w:t>3세</w:t>
            </w:r>
            <w:r w:rsidRPr="00634589">
              <w:rPr>
                <w:rFonts w:ascii="한컴바탕" w:eastAsia="한컴바탕" w:hAnsi="한컴바탕" w:cs="한컴바탕"/>
                <w:spacing w:val="6"/>
                <w:szCs w:val="21"/>
                <w:lang w:eastAsia="ko-KR"/>
              </w:rPr>
              <w:t>’</w:t>
            </w:r>
            <w:r w:rsidRPr="00634589">
              <w:rPr>
                <w:rFonts w:ascii="한컴바탕" w:eastAsia="한컴바탕" w:hAnsi="한컴바탕" w:cs="한컴바탕" w:hint="eastAsia"/>
                <w:spacing w:val="6"/>
                <w:szCs w:val="21"/>
                <w:lang w:eastAsia="ko-KR"/>
              </w:rPr>
              <w:t xml:space="preserve">에 대해서는 도시보소건설세와 교육비를 부과징수하지 않는다. </w:t>
            </w:r>
          </w:p>
          <w:p w:rsidR="00AA12FE" w:rsidRPr="00634589" w:rsidRDefault="00AA12FE" w:rsidP="00634589">
            <w:pPr>
              <w:wordWrap w:val="0"/>
              <w:overflowPunct w:val="0"/>
              <w:topLinePunct/>
              <w:autoSpaceDN w:val="0"/>
              <w:adjustRightInd w:val="0"/>
              <w:snapToGrid w:val="0"/>
              <w:spacing w:line="290" w:lineRule="atLeast"/>
              <w:ind w:firstLineChars="100" w:firstLine="202"/>
              <w:rPr>
                <w:rFonts w:ascii="한컴바탕" w:eastAsia="한컴바탕" w:hAnsi="한컴바탕" w:cs="한컴바탕" w:hint="eastAsia"/>
                <w:spacing w:val="-4"/>
                <w:szCs w:val="21"/>
                <w:lang w:eastAsia="ko-KR"/>
              </w:rPr>
            </w:pPr>
            <w:r w:rsidRPr="00634589">
              <w:rPr>
                <w:rFonts w:ascii="한컴바탕" w:eastAsia="한컴바탕" w:hAnsi="한컴바탕" w:cs="한컴바탕" w:hint="eastAsia"/>
                <w:spacing w:val="-4"/>
                <w:szCs w:val="21"/>
                <w:lang w:eastAsia="ko-KR"/>
              </w:rPr>
              <w:t xml:space="preserve">각급 재정, 세무기관은 서비스 의식 및 정책홍보를 강화하여 징수관리 업무를 완수해야 한다. 정책집행 중 문제가 발생한 경우, 성실히 연구하여 적적하게 해결하고, 중대한 문제의 경우 즉시 재정부, 국가세무총국에 보고해야 한다. </w:t>
            </w:r>
          </w:p>
          <w:p w:rsidR="00AA12FE" w:rsidRDefault="00AA12FE" w:rsidP="00BC204D">
            <w:pPr>
              <w:wordWrap w:val="0"/>
              <w:overflowPunct w:val="0"/>
              <w:topLinePunct/>
              <w:autoSpaceDN w:val="0"/>
              <w:adjustRightInd w:val="0"/>
              <w:snapToGrid w:val="0"/>
              <w:spacing w:line="290" w:lineRule="atLeast"/>
              <w:rPr>
                <w:rFonts w:ascii="한컴바탕" w:eastAsia="한컴바탕" w:hAnsi="한컴바탕" w:cs="한컴바탕" w:hint="eastAsia"/>
                <w:szCs w:val="21"/>
                <w:lang w:eastAsia="ko-KR"/>
              </w:rPr>
            </w:pPr>
          </w:p>
          <w:p w:rsidR="00634589" w:rsidRPr="00BC204D" w:rsidRDefault="00634589" w:rsidP="00BC204D">
            <w:pPr>
              <w:wordWrap w:val="0"/>
              <w:overflowPunct w:val="0"/>
              <w:topLinePunct/>
              <w:autoSpaceDN w:val="0"/>
              <w:adjustRightInd w:val="0"/>
              <w:snapToGrid w:val="0"/>
              <w:spacing w:line="290" w:lineRule="atLeast"/>
              <w:rPr>
                <w:rFonts w:ascii="한컴바탕" w:eastAsia="한컴바탕" w:hAnsi="한컴바탕" w:cs="한컴바탕" w:hint="eastAsia"/>
                <w:szCs w:val="21"/>
                <w:lang w:eastAsia="ko-KR"/>
              </w:rPr>
            </w:pPr>
          </w:p>
          <w:p w:rsidR="00AA12FE" w:rsidRPr="00BC204D" w:rsidRDefault="00AA12FE" w:rsidP="00BC204D">
            <w:pPr>
              <w:wordWrap w:val="0"/>
              <w:overflowPunct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BC204D">
              <w:rPr>
                <w:rFonts w:ascii="한컴바탕" w:eastAsia="한컴바탕" w:hAnsi="한컴바탕" w:cs="한컴바탕" w:hint="eastAsia"/>
                <w:szCs w:val="21"/>
                <w:lang w:eastAsia="ko-KR"/>
              </w:rPr>
              <w:t>재정부</w:t>
            </w:r>
          </w:p>
          <w:p w:rsidR="00AA12FE" w:rsidRPr="00BC204D" w:rsidRDefault="00AA12FE" w:rsidP="00634589">
            <w:pPr>
              <w:wordWrap w:val="0"/>
              <w:overflowPunct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BC204D">
              <w:rPr>
                <w:rFonts w:ascii="한컴바탕" w:eastAsia="한컴바탕" w:hAnsi="한컴바탕" w:cs="한컴바탕" w:hint="eastAsia"/>
                <w:szCs w:val="21"/>
                <w:lang w:eastAsia="ko-KR"/>
              </w:rPr>
              <w:t>국가세무총국</w:t>
            </w:r>
          </w:p>
          <w:p w:rsidR="00AA12FE" w:rsidRPr="00BC204D" w:rsidRDefault="00AA12FE" w:rsidP="00BC204D">
            <w:pPr>
              <w:wordWrap w:val="0"/>
              <w:overflowPunct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BC204D">
              <w:rPr>
                <w:rFonts w:ascii="한컴바탕" w:eastAsia="한컴바탕" w:hAnsi="한컴바탕" w:cs="한컴바탕" w:hint="eastAsia"/>
                <w:szCs w:val="21"/>
                <w:lang w:eastAsia="ko-KR"/>
              </w:rPr>
              <w:t>2010년 11월 4일</w:t>
            </w:r>
          </w:p>
          <w:p w:rsidR="00AA12FE" w:rsidRPr="00BC204D" w:rsidRDefault="00AA12FE" w:rsidP="00BC204D">
            <w:pPr>
              <w:wordWrap w:val="0"/>
              <w:autoSpaceDN w:val="0"/>
              <w:snapToGrid w:val="0"/>
              <w:spacing w:line="290" w:lineRule="atLeast"/>
              <w:rPr>
                <w:rFonts w:ascii="한컴바탕" w:eastAsia="한컴바탕" w:hAnsi="한컴바탕" w:cs="한컴바탕"/>
                <w:szCs w:val="21"/>
                <w:lang w:eastAsia="ko-KR"/>
              </w:rPr>
            </w:pPr>
          </w:p>
          <w:p w:rsidR="00A1272F" w:rsidRPr="00BC204D" w:rsidRDefault="00A1272F" w:rsidP="00BC204D">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A1272F" w:rsidRPr="00BC204D" w:rsidRDefault="00A1272F" w:rsidP="00BC204D">
            <w:pPr>
              <w:snapToGrid w:val="0"/>
              <w:spacing w:line="290" w:lineRule="atLeast"/>
              <w:rPr>
                <w:szCs w:val="21"/>
                <w:lang w:eastAsia="ko-KR"/>
              </w:rPr>
            </w:pPr>
          </w:p>
        </w:tc>
        <w:tc>
          <w:tcPr>
            <w:tcW w:w="3958" w:type="dxa"/>
          </w:tcPr>
          <w:p w:rsidR="001523CE" w:rsidRDefault="00B56823" w:rsidP="00BC204D">
            <w:pPr>
              <w:snapToGrid w:val="0"/>
              <w:spacing w:line="290" w:lineRule="atLeast"/>
              <w:jc w:val="center"/>
              <w:rPr>
                <w:rFonts w:ascii="SimSun" w:eastAsiaTheme="minorEastAsia" w:hAnsi="SimSun" w:cs="한컴바탕" w:hint="eastAsia"/>
                <w:b/>
                <w:sz w:val="26"/>
                <w:szCs w:val="26"/>
                <w:lang w:eastAsia="ko-KR"/>
              </w:rPr>
            </w:pPr>
            <w:r w:rsidRPr="001523CE">
              <w:rPr>
                <w:rFonts w:ascii="SimSun" w:hAnsi="SimSun" w:cs="한컴바탕" w:hint="eastAsia"/>
                <w:b/>
                <w:sz w:val="26"/>
                <w:szCs w:val="26"/>
              </w:rPr>
              <w:t>关于对外资企业征收城市维护</w:t>
            </w:r>
          </w:p>
          <w:p w:rsidR="00B56823" w:rsidRPr="001523CE" w:rsidRDefault="00B56823" w:rsidP="00BC204D">
            <w:pPr>
              <w:snapToGrid w:val="0"/>
              <w:spacing w:line="290" w:lineRule="atLeast"/>
              <w:jc w:val="center"/>
              <w:rPr>
                <w:rFonts w:ascii="SimSun" w:hAnsi="SimSun" w:cs="한컴바탕" w:hint="eastAsia"/>
                <w:b/>
                <w:sz w:val="26"/>
                <w:szCs w:val="26"/>
              </w:rPr>
            </w:pPr>
            <w:r w:rsidRPr="001523CE">
              <w:rPr>
                <w:rFonts w:ascii="SimSun" w:hAnsi="SimSun" w:cs="한컴바탕" w:hint="eastAsia"/>
                <w:b/>
                <w:sz w:val="26"/>
                <w:szCs w:val="26"/>
              </w:rPr>
              <w:t>建设税和教育费附加有关问题的通知</w:t>
            </w:r>
          </w:p>
          <w:p w:rsidR="00B56823" w:rsidRPr="00BC204D" w:rsidRDefault="00B56823" w:rsidP="00BC204D">
            <w:pPr>
              <w:snapToGrid w:val="0"/>
              <w:spacing w:line="290" w:lineRule="atLeast"/>
              <w:jc w:val="center"/>
              <w:rPr>
                <w:rFonts w:ascii="SimSun" w:hAnsi="SimSun" w:cs="한컴바탕" w:hint="eastAsia"/>
                <w:szCs w:val="21"/>
              </w:rPr>
            </w:pPr>
            <w:r w:rsidRPr="00BC204D">
              <w:rPr>
                <w:rFonts w:ascii="SimSun" w:hAnsi="SimSun" w:cs="한컴바탕" w:hint="eastAsia"/>
                <w:szCs w:val="21"/>
              </w:rPr>
              <w:t>财税[2010]103号</w:t>
            </w:r>
          </w:p>
          <w:p w:rsidR="00B56823" w:rsidRPr="00BC204D" w:rsidRDefault="00B56823" w:rsidP="00BC204D">
            <w:pPr>
              <w:snapToGrid w:val="0"/>
              <w:spacing w:line="290" w:lineRule="atLeast"/>
              <w:rPr>
                <w:rFonts w:ascii="SimSun" w:hAnsi="SimSun" w:cs="한컴바탕"/>
                <w:szCs w:val="21"/>
              </w:rPr>
            </w:pPr>
          </w:p>
          <w:p w:rsidR="00B56823" w:rsidRPr="00BC204D" w:rsidRDefault="00B56823" w:rsidP="00BC204D">
            <w:pPr>
              <w:snapToGrid w:val="0"/>
              <w:spacing w:line="290" w:lineRule="atLeast"/>
              <w:rPr>
                <w:rFonts w:ascii="SimSun" w:hAnsi="SimSun" w:cs="한컴바탕"/>
                <w:szCs w:val="21"/>
              </w:rPr>
            </w:pPr>
          </w:p>
          <w:p w:rsidR="00B56823" w:rsidRPr="00BC204D" w:rsidRDefault="00B56823" w:rsidP="00BC204D">
            <w:pPr>
              <w:snapToGrid w:val="0"/>
              <w:spacing w:line="290" w:lineRule="atLeast"/>
              <w:rPr>
                <w:rFonts w:ascii="SimSun" w:hAnsi="SimSun" w:cs="한컴바탕"/>
                <w:szCs w:val="21"/>
              </w:rPr>
            </w:pPr>
            <w:r w:rsidRPr="00BC204D">
              <w:rPr>
                <w:rFonts w:ascii="SimSun" w:hAnsi="SimSun" w:cs="한컴바탕" w:hint="eastAsia"/>
                <w:szCs w:val="21"/>
              </w:rPr>
              <w:t>各省、自治区、直辖市、计划单列市财政厅（局）、国家税务局、地方税务局，新疆生产建设兵团财务局：</w:t>
            </w:r>
          </w:p>
          <w:p w:rsidR="00B56823" w:rsidRPr="00BC204D" w:rsidRDefault="00B56823" w:rsidP="00BC204D">
            <w:pPr>
              <w:snapToGrid w:val="0"/>
              <w:spacing w:line="290" w:lineRule="atLeast"/>
              <w:rPr>
                <w:rFonts w:ascii="SimSun" w:hAnsi="SimSun" w:cs="한컴바탕"/>
                <w:szCs w:val="21"/>
              </w:rPr>
            </w:pPr>
            <w:r w:rsidRPr="00BC204D">
              <w:rPr>
                <w:rFonts w:ascii="SimSun" w:hAnsi="SimSun" w:cs="한컴바탕" w:hint="eastAsia"/>
                <w:szCs w:val="21"/>
              </w:rPr>
              <w:t xml:space="preserve">　　根据《国务院关于统一内外资企业和个人城市维护建设税和教育费附加制度的通知》（国发[2010]35号）决定，自</w:t>
            </w:r>
            <w:smartTag w:uri="urn:schemas-microsoft-com:office:smarttags" w:element="chsdate">
              <w:smartTagPr>
                <w:attr w:name="IsROCDate" w:val="False"/>
                <w:attr w:name="IsLunarDate" w:val="False"/>
                <w:attr w:name="Day" w:val="1"/>
                <w:attr w:name="Month" w:val="12"/>
                <w:attr w:name="Year" w:val="2010"/>
              </w:smartTagPr>
              <w:r w:rsidRPr="00BC204D">
                <w:rPr>
                  <w:rFonts w:ascii="SimSun" w:hAnsi="SimSun" w:cs="한컴바탕" w:hint="eastAsia"/>
                  <w:szCs w:val="21"/>
                </w:rPr>
                <w:t>2010年12月1日起</w:t>
              </w:r>
            </w:smartTag>
            <w:r w:rsidRPr="00BC204D">
              <w:rPr>
                <w:rFonts w:ascii="SimSun" w:hAnsi="SimSun" w:cs="한컴바탕" w:hint="eastAsia"/>
                <w:szCs w:val="21"/>
              </w:rPr>
              <w:t>，对外商投资企业、外国企业及外籍个人（以下简称外资企业）征收城市维护建设税和教育费附加。现将有关问题通知如下：</w:t>
            </w:r>
          </w:p>
          <w:p w:rsidR="00B56823" w:rsidRPr="00BC204D" w:rsidRDefault="00B56823" w:rsidP="00BC204D">
            <w:pPr>
              <w:snapToGrid w:val="0"/>
              <w:spacing w:line="290" w:lineRule="atLeast"/>
              <w:rPr>
                <w:rFonts w:ascii="SimSun" w:hAnsi="SimSun" w:cs="한컴바탕"/>
                <w:szCs w:val="21"/>
              </w:rPr>
            </w:pPr>
            <w:r w:rsidRPr="00BC204D">
              <w:rPr>
                <w:rFonts w:ascii="SimSun" w:hAnsi="SimSun" w:cs="한컴바탕" w:hint="eastAsia"/>
                <w:szCs w:val="21"/>
              </w:rPr>
              <w:t xml:space="preserve">　　对外资企业</w:t>
            </w:r>
            <w:smartTag w:uri="urn:schemas-microsoft-com:office:smarttags" w:element="chsdate">
              <w:smartTagPr>
                <w:attr w:name="IsROCDate" w:val="False"/>
                <w:attr w:name="IsLunarDate" w:val="False"/>
                <w:attr w:name="Day" w:val="1"/>
                <w:attr w:name="Month" w:val="12"/>
                <w:attr w:name="Year" w:val="2010"/>
              </w:smartTagPr>
              <w:r w:rsidRPr="00BC204D">
                <w:rPr>
                  <w:rFonts w:ascii="SimSun" w:hAnsi="SimSun" w:cs="한컴바탕" w:hint="eastAsia"/>
                  <w:szCs w:val="21"/>
                </w:rPr>
                <w:t>2010年12月1日</w:t>
              </w:r>
            </w:smartTag>
            <w:r w:rsidRPr="00BC204D">
              <w:rPr>
                <w:rFonts w:ascii="SimSun" w:hAnsi="SimSun" w:cs="한컴바탕" w:hint="eastAsia"/>
                <w:szCs w:val="21"/>
              </w:rPr>
              <w:t>（含）之后发生纳税义务的增值税、消费税、营业税（以下简称“三税”）征收城市维护建设税和教育费附加；对外资企业</w:t>
            </w:r>
            <w:smartTag w:uri="urn:schemas-microsoft-com:office:smarttags" w:element="chsdate">
              <w:smartTagPr>
                <w:attr w:name="IsROCDate" w:val="False"/>
                <w:attr w:name="IsLunarDate" w:val="False"/>
                <w:attr w:name="Day" w:val="1"/>
                <w:attr w:name="Month" w:val="12"/>
                <w:attr w:name="Year" w:val="2010"/>
              </w:smartTagPr>
              <w:r w:rsidRPr="00BC204D">
                <w:rPr>
                  <w:rFonts w:ascii="SimSun" w:hAnsi="SimSun" w:cs="한컴바탕" w:hint="eastAsia"/>
                  <w:szCs w:val="21"/>
                </w:rPr>
                <w:t>2010年12月1日</w:t>
              </w:r>
            </w:smartTag>
            <w:r w:rsidRPr="00BC204D">
              <w:rPr>
                <w:rFonts w:ascii="SimSun" w:hAnsi="SimSun" w:cs="한컴바탕" w:hint="eastAsia"/>
                <w:szCs w:val="21"/>
              </w:rPr>
              <w:t>之前发生纳税义务的“三税”，不征收城市维护建设税和教育费附加。</w:t>
            </w:r>
          </w:p>
          <w:p w:rsidR="00B56823" w:rsidRPr="00BC204D" w:rsidRDefault="00B56823" w:rsidP="00BC204D">
            <w:pPr>
              <w:snapToGrid w:val="0"/>
              <w:spacing w:line="290" w:lineRule="atLeast"/>
              <w:rPr>
                <w:rFonts w:ascii="SimSun" w:hAnsi="SimSun" w:cs="한컴바탕" w:hint="eastAsia"/>
                <w:szCs w:val="21"/>
              </w:rPr>
            </w:pPr>
            <w:r w:rsidRPr="00BC204D">
              <w:rPr>
                <w:rFonts w:ascii="SimSun" w:hAnsi="SimSun" w:cs="한컴바탕" w:hint="eastAsia"/>
                <w:szCs w:val="21"/>
              </w:rPr>
              <w:t xml:space="preserve">　　各级财政、税务机关要增强服务意识，加强政策宣传，做好征管工作。对政策执行中遇到的问题，要认真研究，妥善解决，重大问题及时上报财政部、国家税务总局。</w:t>
            </w:r>
          </w:p>
          <w:p w:rsidR="00B56823" w:rsidRPr="00BC204D" w:rsidRDefault="00B56823" w:rsidP="00BC204D">
            <w:pPr>
              <w:snapToGrid w:val="0"/>
              <w:spacing w:line="290" w:lineRule="atLeast"/>
              <w:rPr>
                <w:rFonts w:ascii="SimSun" w:hAnsi="SimSun" w:cs="한컴바탕"/>
                <w:szCs w:val="21"/>
              </w:rPr>
            </w:pPr>
          </w:p>
          <w:p w:rsidR="00B56823" w:rsidRPr="00BC204D" w:rsidRDefault="00B56823" w:rsidP="00BC204D">
            <w:pPr>
              <w:snapToGrid w:val="0"/>
              <w:spacing w:line="290" w:lineRule="atLeast"/>
              <w:rPr>
                <w:rFonts w:ascii="SimSun" w:hAnsi="SimSun" w:cs="한컴바탕"/>
                <w:szCs w:val="21"/>
              </w:rPr>
            </w:pPr>
          </w:p>
          <w:p w:rsidR="00B56823" w:rsidRPr="00BC204D" w:rsidRDefault="00B56823" w:rsidP="00BC204D">
            <w:pPr>
              <w:snapToGrid w:val="0"/>
              <w:spacing w:line="290" w:lineRule="atLeast"/>
              <w:ind w:firstLine="420"/>
              <w:jc w:val="right"/>
              <w:rPr>
                <w:rFonts w:ascii="SimSun" w:hAnsi="SimSun" w:cs="한컴바탕" w:hint="eastAsia"/>
                <w:szCs w:val="21"/>
              </w:rPr>
            </w:pPr>
            <w:r w:rsidRPr="00BC204D">
              <w:rPr>
                <w:rFonts w:ascii="SimSun" w:hAnsi="SimSun" w:cs="한컴바탕" w:hint="eastAsia"/>
                <w:szCs w:val="21"/>
              </w:rPr>
              <w:t>财政部</w:t>
            </w:r>
          </w:p>
          <w:p w:rsidR="00B56823" w:rsidRPr="00634589" w:rsidRDefault="00B56823" w:rsidP="00634589">
            <w:pPr>
              <w:snapToGrid w:val="0"/>
              <w:spacing w:line="290" w:lineRule="atLeast"/>
              <w:ind w:firstLine="420"/>
              <w:jc w:val="right"/>
              <w:rPr>
                <w:rFonts w:ascii="SimSun" w:eastAsiaTheme="minorEastAsia" w:hAnsi="SimSun" w:cs="한컴바탕" w:hint="eastAsia"/>
                <w:szCs w:val="21"/>
              </w:rPr>
            </w:pPr>
            <w:r w:rsidRPr="00BC204D">
              <w:rPr>
                <w:rFonts w:ascii="SimSun" w:hAnsi="SimSun" w:cs="한컴바탕" w:hint="eastAsia"/>
                <w:szCs w:val="21"/>
              </w:rPr>
              <w:t xml:space="preserve"> 国家税务总局</w:t>
            </w:r>
          </w:p>
          <w:p w:rsidR="00B56823" w:rsidRPr="00BC204D" w:rsidRDefault="00B56823" w:rsidP="00BC204D">
            <w:pPr>
              <w:snapToGrid w:val="0"/>
              <w:spacing w:line="290" w:lineRule="atLeast"/>
              <w:jc w:val="right"/>
              <w:rPr>
                <w:rFonts w:ascii="SimSun" w:hAnsi="SimSun" w:cs="한컴바탕" w:hint="eastAsia"/>
                <w:szCs w:val="21"/>
              </w:rPr>
            </w:pPr>
            <w:r w:rsidRPr="00BC204D">
              <w:rPr>
                <w:rFonts w:ascii="SimSun" w:hAnsi="SimSun" w:cs="한컴바탕" w:hint="eastAsia"/>
                <w:szCs w:val="21"/>
              </w:rPr>
              <w:t xml:space="preserve">　　</w:t>
            </w:r>
            <w:smartTag w:uri="urn:schemas-microsoft-com:office:smarttags" w:element="chsdate">
              <w:smartTagPr>
                <w:attr w:name="IsROCDate" w:val="False"/>
                <w:attr w:name="IsLunarDate" w:val="False"/>
                <w:attr w:name="Day" w:val="4"/>
                <w:attr w:name="Month" w:val="11"/>
                <w:attr w:name="Year" w:val="2010"/>
              </w:smartTagPr>
              <w:r w:rsidRPr="00BC204D">
                <w:rPr>
                  <w:rFonts w:ascii="SimSun" w:hAnsi="SimSun" w:cs="한컴바탕" w:hint="eastAsia"/>
                  <w:szCs w:val="21"/>
                </w:rPr>
                <w:t>二〇一〇年十一月四日</w:t>
              </w:r>
            </w:smartTag>
          </w:p>
          <w:p w:rsidR="00B56823" w:rsidRPr="00BC204D" w:rsidRDefault="00B56823" w:rsidP="00BC204D">
            <w:pPr>
              <w:snapToGrid w:val="0"/>
              <w:spacing w:line="290" w:lineRule="atLeast"/>
              <w:rPr>
                <w:rFonts w:ascii="SimSun" w:hAnsi="SimSun" w:cs="한컴바탕"/>
                <w:szCs w:val="21"/>
              </w:rPr>
            </w:pPr>
          </w:p>
          <w:p w:rsidR="00A1272F" w:rsidRPr="00BC204D" w:rsidRDefault="00A1272F" w:rsidP="00BC204D">
            <w:pPr>
              <w:snapToGrid w:val="0"/>
              <w:spacing w:line="290" w:lineRule="atLeast"/>
              <w:rPr>
                <w:rFonts w:ascii="SimSun" w:hAnsi="SimSun" w:cs="한컴바탕"/>
                <w:szCs w:val="21"/>
              </w:rPr>
            </w:pPr>
          </w:p>
        </w:tc>
      </w:tr>
    </w:tbl>
    <w:p w:rsidR="00EF6535" w:rsidRDefault="00EF6535"/>
    <w:sectPr w:rsidR="00EF6535" w:rsidSect="00A1272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535" w:rsidRDefault="00EF6535" w:rsidP="00A1272F">
      <w:r>
        <w:separator/>
      </w:r>
    </w:p>
  </w:endnote>
  <w:endnote w:type="continuationSeparator" w:id="1">
    <w:p w:rsidR="00EF6535" w:rsidRDefault="00EF6535" w:rsidP="00A1272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535" w:rsidRDefault="00EF6535" w:rsidP="00A1272F">
      <w:r>
        <w:separator/>
      </w:r>
    </w:p>
  </w:footnote>
  <w:footnote w:type="continuationSeparator" w:id="1">
    <w:p w:rsidR="00EF6535" w:rsidRDefault="00EF6535" w:rsidP="00A127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272F"/>
    <w:rsid w:val="001523CE"/>
    <w:rsid w:val="00237BB1"/>
    <w:rsid w:val="00552AD5"/>
    <w:rsid w:val="00634589"/>
    <w:rsid w:val="00A1272F"/>
    <w:rsid w:val="00AA12FE"/>
    <w:rsid w:val="00B56823"/>
    <w:rsid w:val="00BC204D"/>
    <w:rsid w:val="00EF653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2FE"/>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272F"/>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A1272F"/>
  </w:style>
  <w:style w:type="paragraph" w:styleId="a4">
    <w:name w:val="footer"/>
    <w:basedOn w:val="a"/>
    <w:link w:val="Char0"/>
    <w:uiPriority w:val="99"/>
    <w:semiHidden/>
    <w:unhideWhenUsed/>
    <w:rsid w:val="00A1272F"/>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A1272F"/>
  </w:style>
  <w:style w:type="table" w:styleId="a5">
    <w:name w:val="Table Grid"/>
    <w:basedOn w:val="a1"/>
    <w:uiPriority w:val="59"/>
    <w:rsid w:val="00A127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2010-11-24T01:42:00Z</dcterms:created>
  <dcterms:modified xsi:type="dcterms:W3CDTF">2010-11-24T01:48:00Z</dcterms:modified>
</cp:coreProperties>
</file>