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6703E" w:rsidTr="00920BFB">
        <w:tc>
          <w:tcPr>
            <w:tcW w:w="4785" w:type="dxa"/>
          </w:tcPr>
          <w:p w:rsidR="00BB6417" w:rsidRDefault="008B0A6B" w:rsidP="0048168E">
            <w:pPr>
              <w:topLinePunct/>
              <w:autoSpaceDE/>
              <w:adjustRightInd w:val="0"/>
              <w:snapToGrid w:val="0"/>
              <w:spacing w:line="290" w:lineRule="atLeast"/>
              <w:jc w:val="center"/>
              <w:rPr>
                <w:rFonts w:ascii="한컴바탕" w:eastAsia="한컴바탕" w:hAnsi="한컴바탕" w:cs="한컴바탕" w:hint="eastAsia"/>
                <w:b/>
                <w:sz w:val="26"/>
                <w:szCs w:val="26"/>
              </w:rPr>
            </w:pPr>
            <w:r w:rsidRPr="00BB6417">
              <w:rPr>
                <w:rFonts w:ascii="한컴바탕" w:eastAsia="한컴바탕" w:hAnsi="한컴바탕" w:cs="한컴바탕" w:hint="eastAsia"/>
                <w:b/>
                <w:sz w:val="26"/>
                <w:szCs w:val="26"/>
              </w:rPr>
              <w:t xml:space="preserve">중화인민공화국 </w:t>
            </w:r>
            <w:proofErr w:type="spellStart"/>
            <w:r w:rsidRPr="00BB6417">
              <w:rPr>
                <w:rFonts w:ascii="한컴바탕" w:eastAsia="한컴바탕" w:hAnsi="한컴바탕" w:cs="한컴바탕" w:hint="eastAsia"/>
                <w:b/>
                <w:sz w:val="26"/>
                <w:szCs w:val="26"/>
              </w:rPr>
              <w:t>선박톤세</w:t>
            </w:r>
            <w:proofErr w:type="spellEnd"/>
            <w:r w:rsidRPr="00BB6417">
              <w:rPr>
                <w:rFonts w:ascii="한컴바탕" w:eastAsia="한컴바탕" w:hAnsi="한컴바탕" w:cs="한컴바탕" w:hint="eastAsia"/>
                <w:b/>
                <w:sz w:val="26"/>
                <w:szCs w:val="26"/>
              </w:rPr>
              <w:t xml:space="preserve"> </w:t>
            </w:r>
          </w:p>
          <w:p w:rsidR="008B0A6B" w:rsidRPr="00BB6417" w:rsidRDefault="008B0A6B" w:rsidP="0048168E">
            <w:pPr>
              <w:topLinePunct/>
              <w:autoSpaceDE/>
              <w:adjustRightInd w:val="0"/>
              <w:snapToGrid w:val="0"/>
              <w:spacing w:line="290" w:lineRule="atLeast"/>
              <w:jc w:val="center"/>
              <w:rPr>
                <w:rFonts w:ascii="한컴바탕" w:eastAsia="한컴바탕" w:hAnsi="한컴바탕" w:cs="한컴바탕"/>
                <w:b/>
                <w:sz w:val="26"/>
                <w:szCs w:val="26"/>
              </w:rPr>
            </w:pPr>
            <w:r w:rsidRPr="00BB6417">
              <w:rPr>
                <w:rFonts w:ascii="한컴바탕" w:eastAsia="한컴바탕" w:hAnsi="한컴바탕" w:cs="한컴바탕" w:hint="eastAsia"/>
                <w:b/>
                <w:sz w:val="26"/>
                <w:szCs w:val="26"/>
              </w:rPr>
              <w:t>잠행조례</w:t>
            </w:r>
          </w:p>
          <w:p w:rsidR="008B0A6B" w:rsidRPr="0048168E" w:rsidRDefault="008B0A6B" w:rsidP="0048168E">
            <w:pPr>
              <w:topLinePunct/>
              <w:autoSpaceDE/>
              <w:adjustRightInd w:val="0"/>
              <w:snapToGrid w:val="0"/>
              <w:spacing w:line="290" w:lineRule="atLeast"/>
              <w:jc w:val="center"/>
              <w:rPr>
                <w:rFonts w:ascii="한컴바탕" w:eastAsia="한컴바탕" w:hAnsi="한컴바탕" w:cs="한컴바탕"/>
                <w:sz w:val="21"/>
                <w:szCs w:val="21"/>
              </w:rPr>
            </w:pPr>
            <w:r w:rsidRPr="0048168E">
              <w:rPr>
                <w:rFonts w:ascii="한컴바탕" w:eastAsia="한컴바탕" w:hAnsi="한컴바탕" w:cs="한컴바탕" w:hint="eastAsia"/>
                <w:sz w:val="21"/>
                <w:szCs w:val="21"/>
              </w:rPr>
              <w:t>국무원령 제610호</w:t>
            </w:r>
          </w:p>
          <w:p w:rsidR="008B0A6B" w:rsidRDefault="008B0A6B" w:rsidP="0048168E">
            <w:pPr>
              <w:topLinePunct/>
              <w:autoSpaceDE/>
              <w:adjustRightInd w:val="0"/>
              <w:snapToGrid w:val="0"/>
              <w:spacing w:line="290" w:lineRule="atLeast"/>
              <w:ind w:firstLineChars="200" w:firstLine="420"/>
              <w:rPr>
                <w:rFonts w:ascii="한컴바탕" w:eastAsia="한컴바탕" w:hAnsi="한컴바탕" w:cs="한컴바탕" w:hint="eastAsia"/>
                <w:sz w:val="21"/>
                <w:szCs w:val="21"/>
              </w:rPr>
            </w:pPr>
          </w:p>
          <w:p w:rsidR="00BB6417" w:rsidRPr="0048168E" w:rsidRDefault="00BB6417"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《중화인민공화국 </w:t>
            </w:r>
            <w:proofErr w:type="spellStart"/>
            <w:r w:rsidRPr="0048168E">
              <w:rPr>
                <w:rFonts w:ascii="한컴바탕" w:eastAsia="한컴바탕" w:hAnsi="한컴바탕" w:cs="한컴바탕" w:hint="eastAsia"/>
                <w:sz w:val="21"/>
                <w:szCs w:val="21"/>
              </w:rPr>
              <w:t>선박톤세</w:t>
            </w:r>
            <w:proofErr w:type="spellEnd"/>
            <w:r w:rsidRPr="0048168E">
              <w:rPr>
                <w:rFonts w:ascii="한컴바탕" w:eastAsia="한컴바탕" w:hAnsi="한컴바탕" w:cs="한컴바탕" w:hint="eastAsia"/>
                <w:sz w:val="21"/>
                <w:szCs w:val="21"/>
              </w:rPr>
              <w:t xml:space="preserve"> 잠행조례》는 2011년 11월 23일 국무원 제 182차 상무회의를 통과, 현재 공포하며, 2012년 1월 1일부터 시행한다.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총리 </w:t>
            </w:r>
            <w:proofErr w:type="spellStart"/>
            <w:r w:rsidRPr="0048168E">
              <w:rPr>
                <w:rFonts w:ascii="한컴바탕" w:eastAsia="한컴바탕" w:hAnsi="한컴바탕" w:cs="한컴바탕" w:hint="eastAsia"/>
                <w:sz w:val="21"/>
                <w:szCs w:val="21"/>
              </w:rPr>
              <w:t>원자바오</w:t>
            </w:r>
            <w:proofErr w:type="spellEnd"/>
            <w:r w:rsidRPr="0048168E">
              <w:rPr>
                <w:rFonts w:ascii="한컴바탕" w:eastAsia="한컴바탕" w:hAnsi="한컴바탕" w:cs="한컴바탕" w:hint="eastAsia"/>
                <w:sz w:val="21"/>
                <w:szCs w:val="21"/>
              </w:rPr>
              <w:t>(</w:t>
            </w:r>
            <w:proofErr w:type="spellStart"/>
            <w:r w:rsidRPr="0048168E">
              <w:rPr>
                <w:rFonts w:ascii="한컴바탕" w:eastAsia="한컴바탕" w:hAnsi="한컴바탕" w:cs="한컴바탕" w:hint="eastAsia"/>
                <w:sz w:val="21"/>
                <w:szCs w:val="21"/>
              </w:rPr>
              <w:t>温家宝</w:t>
            </w:r>
            <w:proofErr w:type="spellEnd"/>
            <w:r w:rsidRPr="0048168E">
              <w:rPr>
                <w:rFonts w:ascii="한컴바탕" w:eastAsia="한컴바탕" w:hAnsi="한컴바탕" w:cs="한컴바탕" w:hint="eastAsia"/>
                <w:sz w:val="21"/>
                <w:szCs w:val="21"/>
              </w:rPr>
              <w:t>)</w:t>
            </w:r>
          </w:p>
          <w:p w:rsidR="008B0A6B" w:rsidRPr="0048168E" w:rsidRDefault="008B0A6B" w:rsidP="0048168E">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48168E">
              <w:rPr>
                <w:rFonts w:ascii="한컴바탕" w:eastAsia="한컴바탕" w:hAnsi="한컴바탕" w:cs="한컴바탕" w:hint="eastAsia"/>
                <w:sz w:val="21"/>
                <w:szCs w:val="21"/>
              </w:rPr>
              <w:t>2011년 12월 5일</w:t>
            </w:r>
          </w:p>
          <w:p w:rsidR="008B0A6B" w:rsidRDefault="008B0A6B" w:rsidP="0048168E">
            <w:pPr>
              <w:topLinePunct/>
              <w:autoSpaceDE/>
              <w:adjustRightInd w:val="0"/>
              <w:snapToGrid w:val="0"/>
              <w:spacing w:line="290" w:lineRule="atLeast"/>
              <w:ind w:firstLineChars="200" w:firstLine="420"/>
              <w:jc w:val="right"/>
              <w:rPr>
                <w:rFonts w:ascii="한컴바탕" w:eastAsia="한컴바탕" w:hAnsi="한컴바탕" w:cs="한컴바탕" w:hint="eastAsia"/>
                <w:sz w:val="21"/>
                <w:szCs w:val="21"/>
              </w:rPr>
            </w:pPr>
          </w:p>
          <w:p w:rsidR="00D05134" w:rsidRPr="0048168E" w:rsidRDefault="00D05134" w:rsidP="0048168E">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제1조</w:t>
            </w:r>
            <w:r w:rsidRPr="0048168E">
              <w:rPr>
                <w:rFonts w:ascii="한컴바탕" w:eastAsia="한컴바탕" w:hAnsi="한컴바탕" w:cs="한컴바탕" w:hint="eastAsia"/>
                <w:sz w:val="21"/>
                <w:szCs w:val="21"/>
              </w:rPr>
              <w:t xml:space="preserve"> 중화인민공화국 경외 항구에서 경내 항구로 들어온 선박(이하 </w:t>
            </w:r>
            <w:r w:rsidRPr="0048168E">
              <w:rPr>
                <w:rFonts w:ascii="한컴바탕" w:eastAsia="한컴바탕" w:hAnsi="한컴바탕" w:cs="한컴바탕"/>
                <w:sz w:val="21"/>
                <w:szCs w:val="21"/>
              </w:rPr>
              <w:t>“</w:t>
            </w:r>
            <w:r w:rsidRPr="0048168E">
              <w:rPr>
                <w:rFonts w:ascii="한컴바탕" w:eastAsia="한컴바탕" w:hAnsi="한컴바탕" w:cs="한컴바탕" w:hint="eastAsia"/>
                <w:sz w:val="21"/>
                <w:szCs w:val="21"/>
              </w:rPr>
              <w:t>과세대상선박</w:t>
            </w:r>
            <w:r w:rsidRPr="0048168E">
              <w:rPr>
                <w:rFonts w:ascii="한컴바탕" w:eastAsia="한컴바탕" w:hAnsi="한컴바탕" w:cs="한컴바탕"/>
                <w:sz w:val="21"/>
                <w:szCs w:val="21"/>
              </w:rPr>
              <w:t>”</w:t>
            </w:r>
            <w:r w:rsidRPr="0048168E">
              <w:rPr>
                <w:rFonts w:ascii="한컴바탕" w:eastAsia="한컴바탕" w:hAnsi="한컴바탕" w:cs="한컴바탕" w:hint="eastAsia"/>
                <w:sz w:val="21"/>
                <w:szCs w:val="21"/>
              </w:rPr>
              <w:t xml:space="preserve">)은 본 조례에 따라 </w:t>
            </w:r>
            <w:proofErr w:type="spellStart"/>
            <w:r w:rsidRPr="0048168E">
              <w:rPr>
                <w:rFonts w:ascii="한컴바탕" w:eastAsia="한컴바탕" w:hAnsi="한컴바탕" w:cs="한컴바탕" w:hint="eastAsia"/>
                <w:sz w:val="21"/>
                <w:szCs w:val="21"/>
              </w:rPr>
              <w:t>선박톤세</w:t>
            </w:r>
            <w:proofErr w:type="spellEnd"/>
            <w:r w:rsidRPr="0048168E">
              <w:rPr>
                <w:rFonts w:ascii="한컴바탕" w:eastAsia="한컴바탕" w:hAnsi="한컴바탕" w:cs="한컴바탕" w:hint="eastAsia"/>
                <w:sz w:val="21"/>
                <w:szCs w:val="21"/>
              </w:rPr>
              <w:t xml:space="preserve">(이하 </w:t>
            </w:r>
            <w:r w:rsidRPr="0048168E">
              <w:rPr>
                <w:rFonts w:ascii="한컴바탕" w:eastAsia="한컴바탕" w:hAnsi="한컴바탕" w:cs="한컴바탕"/>
                <w:sz w:val="21"/>
                <w:szCs w:val="21"/>
              </w:rPr>
              <w:t>“</w:t>
            </w:r>
            <w:proofErr w:type="spellStart"/>
            <w:r w:rsidRPr="0048168E">
              <w:rPr>
                <w:rFonts w:ascii="한컴바탕" w:eastAsia="한컴바탕" w:hAnsi="한컴바탕" w:cs="한컴바탕" w:hint="eastAsia"/>
                <w:sz w:val="21"/>
                <w:szCs w:val="21"/>
              </w:rPr>
              <w:t>톤세</w:t>
            </w:r>
            <w:proofErr w:type="spellEnd"/>
            <w:r w:rsidRPr="0048168E">
              <w:rPr>
                <w:rFonts w:ascii="한컴바탕" w:eastAsia="한컴바탕" w:hAnsi="한컴바탕" w:cs="한컴바탕"/>
                <w:sz w:val="21"/>
                <w:szCs w:val="21"/>
              </w:rPr>
              <w:t>”</w:t>
            </w:r>
            <w:r w:rsidRPr="0048168E">
              <w:rPr>
                <w:rFonts w:ascii="한컴바탕" w:eastAsia="한컴바탕" w:hAnsi="한컴바탕" w:cs="한컴바탕" w:hint="eastAsia"/>
                <w:sz w:val="21"/>
                <w:szCs w:val="21"/>
              </w:rPr>
              <w:t>)를 납부해야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제2조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톤세의</w:t>
            </w:r>
            <w:proofErr w:type="spellEnd"/>
            <w:r w:rsidRPr="0048168E">
              <w:rPr>
                <w:rFonts w:ascii="한컴바탕" w:eastAsia="한컴바탕" w:hAnsi="한컴바탕" w:cs="한컴바탕" w:hint="eastAsia"/>
                <w:sz w:val="21"/>
                <w:szCs w:val="21"/>
              </w:rPr>
              <w:t xml:space="preserve"> 세목, 세율은 본 조례에 첨부된《</w:t>
            </w:r>
            <w:proofErr w:type="spellStart"/>
            <w:r w:rsidRPr="0048168E">
              <w:rPr>
                <w:rFonts w:ascii="한컴바탕" w:eastAsia="한컴바탕" w:hAnsi="한컴바탕" w:cs="한컴바탕" w:hint="eastAsia"/>
                <w:sz w:val="21"/>
                <w:szCs w:val="21"/>
              </w:rPr>
              <w:t>톤세</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세목세율표</w:t>
            </w:r>
            <w:proofErr w:type="spellEnd"/>
            <w:r w:rsidRPr="0048168E">
              <w:rPr>
                <w:rFonts w:ascii="한컴바탕" w:eastAsia="한컴바탕" w:hAnsi="한컴바탕" w:cs="한컴바탕" w:hint="eastAsia"/>
                <w:sz w:val="21"/>
                <w:szCs w:val="21"/>
              </w:rPr>
              <w:t>》에 따라 집행한다.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w:t>
            </w:r>
            <w:proofErr w:type="spellStart"/>
            <w:r w:rsidRPr="0048168E">
              <w:rPr>
                <w:rFonts w:ascii="한컴바탕" w:eastAsia="한컴바탕" w:hAnsi="한컴바탕" w:cs="한컴바탕" w:hint="eastAsia"/>
                <w:sz w:val="21"/>
                <w:szCs w:val="21"/>
              </w:rPr>
              <w:t>톤세</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세목세율표</w:t>
            </w:r>
            <w:proofErr w:type="spellEnd"/>
            <w:r w:rsidRPr="0048168E">
              <w:rPr>
                <w:rFonts w:ascii="한컴바탕" w:eastAsia="한컴바탕" w:hAnsi="한컴바탕" w:cs="한컴바탕" w:hint="eastAsia"/>
                <w:sz w:val="21"/>
                <w:szCs w:val="21"/>
              </w:rPr>
              <w:t>》의 조정은 국무원이 결정한다.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제3조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톤세는</w:t>
            </w:r>
            <w:proofErr w:type="spellEnd"/>
            <w:r w:rsidRPr="0048168E">
              <w:rPr>
                <w:rFonts w:ascii="한컴바탕" w:eastAsia="한컴바탕" w:hAnsi="한컴바탕" w:cs="한컴바탕" w:hint="eastAsia"/>
                <w:sz w:val="21"/>
                <w:szCs w:val="21"/>
              </w:rPr>
              <w:t xml:space="preserve"> 우대세율과 보통세율을 설정한다.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중화인민공화국 국적의 과세대상선박, </w:t>
            </w:r>
            <w:proofErr w:type="spellStart"/>
            <w:r w:rsidRPr="0048168E">
              <w:rPr>
                <w:rFonts w:ascii="한컴바탕" w:eastAsia="한컴바탕" w:hAnsi="한컴바탕" w:cs="한컴바탕" w:hint="eastAsia"/>
                <w:sz w:val="21"/>
                <w:szCs w:val="21"/>
              </w:rPr>
              <w:t>선적국</w:t>
            </w:r>
            <w:proofErr w:type="spellEnd"/>
            <w:r w:rsidRPr="0048168E">
              <w:rPr>
                <w:rFonts w:ascii="한컴바탕" w:eastAsia="한컴바탕" w:hAnsi="한컴바탕" w:cs="한컴바탕" w:hint="eastAsia"/>
                <w:sz w:val="21"/>
                <w:szCs w:val="21"/>
              </w:rPr>
              <w:t>(</w:t>
            </w:r>
            <w:proofErr w:type="spellStart"/>
            <w:r w:rsidRPr="0048168E">
              <w:rPr>
                <w:rFonts w:ascii="한컴바탕" w:eastAsia="한컴바탕" w:hAnsi="한컴바탕" w:cs="한컴바탕" w:hint="eastAsia"/>
                <w:sz w:val="21"/>
                <w:szCs w:val="21"/>
              </w:rPr>
              <w:t>船籍国</w:t>
            </w:r>
            <w:proofErr w:type="spellEnd"/>
            <w:r w:rsidRPr="0048168E">
              <w:rPr>
                <w:rFonts w:ascii="한컴바탕" w:eastAsia="한컴바탕" w:hAnsi="한컴바탕" w:cs="한컴바탕" w:hint="eastAsia"/>
                <w:sz w:val="21"/>
                <w:szCs w:val="21"/>
              </w:rPr>
              <w:t>) (지역)과 중화인민공화국 상호 선박세비 최혜국대우 조항이 포함된 조약 또는 협정을 체결한 과세대상선박은 우대세율을 적용한다.</w:t>
            </w:r>
          </w:p>
          <w:p w:rsidR="008B0A6B" w:rsidRPr="007758FA" w:rsidRDefault="008B0A6B" w:rsidP="007758F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7758FA">
              <w:rPr>
                <w:rFonts w:ascii="한컴바탕" w:eastAsia="한컴바탕" w:hAnsi="한컴바탕" w:cs="한컴바탕" w:hint="eastAsia"/>
                <w:spacing w:val="-4"/>
                <w:sz w:val="21"/>
                <w:szCs w:val="21"/>
              </w:rPr>
              <w:t>기타 과세대상선박은 보통세율을 적용한다.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제4조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톤세는</w:t>
            </w:r>
            <w:proofErr w:type="spellEnd"/>
            <w:r w:rsidRPr="0048168E">
              <w:rPr>
                <w:rFonts w:ascii="한컴바탕" w:eastAsia="한컴바탕" w:hAnsi="한컴바탕" w:cs="한컴바탕" w:hint="eastAsia"/>
                <w:sz w:val="21"/>
                <w:szCs w:val="21"/>
              </w:rPr>
              <w:t xml:space="preserve"> 선박의 </w:t>
            </w:r>
            <w:proofErr w:type="spellStart"/>
            <w:r w:rsidRPr="0048168E">
              <w:rPr>
                <w:rFonts w:ascii="한컴바탕" w:eastAsia="한컴바탕" w:hAnsi="한컴바탕" w:cs="한컴바탕" w:hint="eastAsia"/>
                <w:sz w:val="21"/>
                <w:szCs w:val="21"/>
              </w:rPr>
              <w:t>순톤수와</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w:t>
            </w:r>
            <w:proofErr w:type="spellStart"/>
            <w:r w:rsidRPr="0048168E">
              <w:rPr>
                <w:rFonts w:ascii="한컴바탕" w:eastAsia="한컴바탕" w:hAnsi="한컴바탕" w:cs="한컴바탕" w:hint="eastAsia"/>
                <w:sz w:val="21"/>
                <w:szCs w:val="21"/>
              </w:rPr>
              <w:t>톤세종사자격증</w:t>
            </w:r>
            <w:proofErr w:type="spellEnd"/>
            <w:r w:rsidRPr="0048168E">
              <w:rPr>
                <w:rFonts w:ascii="한컴바탕" w:eastAsia="한컴바탕" w:hAnsi="한컴바탕" w:cs="한컴바탕" w:hint="eastAsia"/>
                <w:sz w:val="21"/>
                <w:szCs w:val="21"/>
              </w:rPr>
              <w:t>) 기한에 따라 징수한다.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과세대상선박의 책임자는 매 회 신고납부 시</w:t>
            </w:r>
            <w:proofErr w:type="gramStart"/>
            <w:r w:rsidRPr="0048168E">
              <w:rPr>
                <w:rFonts w:ascii="한컴바탕" w:eastAsia="한컴바탕" w:hAnsi="한컴바탕" w:cs="한컴바탕" w:hint="eastAsia"/>
                <w:sz w:val="21"/>
                <w:szCs w:val="21"/>
              </w:rPr>
              <w:t>,《</w:t>
            </w:r>
            <w:proofErr w:type="spellStart"/>
            <w:proofErr w:type="gramEnd"/>
            <w:r w:rsidRPr="0048168E">
              <w:rPr>
                <w:rFonts w:ascii="한컴바탕" w:eastAsia="한컴바탕" w:hAnsi="한컴바탕" w:cs="한컴바탕" w:hint="eastAsia"/>
                <w:sz w:val="21"/>
                <w:szCs w:val="21"/>
              </w:rPr>
              <w:t>톤세</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세목세율표</w:t>
            </w:r>
            <w:proofErr w:type="spellEnd"/>
            <w:r w:rsidRPr="0048168E">
              <w:rPr>
                <w:rFonts w:ascii="한컴바탕" w:eastAsia="한컴바탕" w:hAnsi="한컴바탕" w:cs="한컴바탕" w:hint="eastAsia"/>
                <w:sz w:val="21"/>
                <w:szCs w:val="21"/>
              </w:rPr>
              <w:t xml:space="preserve">》에 따라 1종 기한의 </w:t>
            </w:r>
            <w:proofErr w:type="spellStart"/>
            <w:r w:rsidRPr="0048168E">
              <w:rPr>
                <w:rFonts w:ascii="한컴바탕" w:eastAsia="한컴바탕" w:hAnsi="한컴바탕" w:cs="한컴바탕" w:hint="eastAsia"/>
                <w:sz w:val="21"/>
                <w:szCs w:val="21"/>
              </w:rPr>
              <w:t>톤세종사자격증을</w:t>
            </w:r>
            <w:proofErr w:type="spellEnd"/>
            <w:r w:rsidRPr="0048168E">
              <w:rPr>
                <w:rFonts w:ascii="한컴바탕" w:eastAsia="한컴바탕" w:hAnsi="한컴바탕" w:cs="한컴바탕" w:hint="eastAsia"/>
                <w:sz w:val="21"/>
                <w:szCs w:val="21"/>
              </w:rPr>
              <w:t xml:space="preserve"> 선택하여 신청할 수 있다.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제5조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톤세의</w:t>
            </w:r>
            <w:proofErr w:type="spellEnd"/>
            <w:r w:rsidRPr="0048168E">
              <w:rPr>
                <w:rFonts w:ascii="한컴바탕" w:eastAsia="한컴바탕" w:hAnsi="한컴바탕" w:cs="한컴바탕" w:hint="eastAsia"/>
                <w:sz w:val="21"/>
                <w:szCs w:val="21"/>
              </w:rPr>
              <w:t xml:space="preserve"> 납부세액은 선박 </w:t>
            </w:r>
            <w:proofErr w:type="spellStart"/>
            <w:r w:rsidRPr="0048168E">
              <w:rPr>
                <w:rFonts w:ascii="한컴바탕" w:eastAsia="한컴바탕" w:hAnsi="한컴바탕" w:cs="한컴바탕" w:hint="eastAsia"/>
                <w:sz w:val="21"/>
                <w:szCs w:val="21"/>
              </w:rPr>
              <w:t>순톤수에</w:t>
            </w:r>
            <w:proofErr w:type="spellEnd"/>
            <w:r w:rsidRPr="0048168E">
              <w:rPr>
                <w:rFonts w:ascii="한컴바탕" w:eastAsia="한컴바탕" w:hAnsi="한컴바탕" w:cs="한컴바탕" w:hint="eastAsia"/>
                <w:sz w:val="21"/>
                <w:szCs w:val="21"/>
              </w:rPr>
              <w:t xml:space="preserve"> 적용세율을 곱하여 계산한다.</w:t>
            </w:r>
          </w:p>
          <w:p w:rsidR="008B0A6B" w:rsidRPr="007758FA" w:rsidRDefault="008B0A6B" w:rsidP="007758FA">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7758FA">
              <w:rPr>
                <w:rFonts w:ascii="한컴바탕" w:eastAsia="한컴바탕" w:hAnsi="한컴바탕" w:cs="한컴바탕" w:hint="eastAsia"/>
                <w:b/>
                <w:spacing w:val="-8"/>
                <w:sz w:val="21"/>
                <w:szCs w:val="21"/>
              </w:rPr>
              <w:t>제6조</w:t>
            </w:r>
            <w:r w:rsidRPr="007758FA">
              <w:rPr>
                <w:rFonts w:ascii="한컴바탕" w:eastAsia="한컴바탕" w:hAnsi="한컴바탕" w:cs="한컴바탕" w:hint="eastAsia"/>
                <w:spacing w:val="-8"/>
                <w:sz w:val="21"/>
                <w:szCs w:val="21"/>
              </w:rPr>
              <w:t xml:space="preserve"> </w:t>
            </w:r>
            <w:proofErr w:type="spellStart"/>
            <w:r w:rsidRPr="007758FA">
              <w:rPr>
                <w:rFonts w:ascii="한컴바탕" w:eastAsia="한컴바탕" w:hAnsi="한컴바탕" w:cs="한컴바탕" w:hint="eastAsia"/>
                <w:spacing w:val="-8"/>
                <w:sz w:val="21"/>
                <w:szCs w:val="21"/>
              </w:rPr>
              <w:t>톤세는</w:t>
            </w:r>
            <w:proofErr w:type="spellEnd"/>
            <w:r w:rsidRPr="007758FA">
              <w:rPr>
                <w:rFonts w:ascii="한컴바탕" w:eastAsia="한컴바탕" w:hAnsi="한컴바탕" w:cs="한컴바탕" w:hint="eastAsia"/>
                <w:spacing w:val="-8"/>
                <w:sz w:val="21"/>
                <w:szCs w:val="21"/>
              </w:rPr>
              <w:t xml:space="preserve"> 해관이 징수를 책임진다. 해관은 </w:t>
            </w:r>
            <w:proofErr w:type="spellStart"/>
            <w:r w:rsidRPr="007758FA">
              <w:rPr>
                <w:rFonts w:ascii="한컴바탕" w:eastAsia="한컴바탕" w:hAnsi="한컴바탕" w:cs="한컴바탕" w:hint="eastAsia"/>
                <w:spacing w:val="-8"/>
                <w:sz w:val="21"/>
                <w:szCs w:val="21"/>
              </w:rPr>
              <w:t>톤세를</w:t>
            </w:r>
            <w:proofErr w:type="spellEnd"/>
            <w:r w:rsidRPr="007758FA">
              <w:rPr>
                <w:rFonts w:ascii="한컴바탕" w:eastAsia="한컴바탕" w:hAnsi="한컴바탕" w:cs="한컴바탕" w:hint="eastAsia"/>
                <w:spacing w:val="-8"/>
                <w:sz w:val="21"/>
                <w:szCs w:val="21"/>
              </w:rPr>
              <w:t xml:space="preserve"> 징수할 경우, 납부증빙을 발급해야 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과세대상선박 책임자가 </w:t>
            </w:r>
            <w:proofErr w:type="spellStart"/>
            <w:r w:rsidRPr="0048168E">
              <w:rPr>
                <w:rFonts w:ascii="한컴바탕" w:eastAsia="한컴바탕" w:hAnsi="한컴바탕" w:cs="한컴바탕" w:hint="eastAsia"/>
                <w:sz w:val="21"/>
                <w:szCs w:val="21"/>
              </w:rPr>
              <w:t>톤세를</w:t>
            </w:r>
            <w:proofErr w:type="spellEnd"/>
            <w:r w:rsidRPr="0048168E">
              <w:rPr>
                <w:rFonts w:ascii="한컴바탕" w:eastAsia="한컴바탕" w:hAnsi="한컴바탕" w:cs="한컴바탕" w:hint="eastAsia"/>
                <w:sz w:val="21"/>
                <w:szCs w:val="21"/>
              </w:rPr>
              <w:t xml:space="preserve"> 납부하거나 담보를 제공한 후, 해관은 해당 책임지가 신청한 허가증 기한에 따라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발급한다.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제7조</w:t>
            </w:r>
            <w:r w:rsidRPr="0048168E">
              <w:rPr>
                <w:rFonts w:ascii="한컴바탕" w:eastAsia="한컴바탕" w:hAnsi="한컴바탕" w:cs="한컴바탕" w:hint="eastAsia"/>
                <w:sz w:val="21"/>
                <w:szCs w:val="21"/>
              </w:rPr>
              <w:t xml:space="preserve"> 과세대상선박이 항구에 진입하여 입경수속을 처리할 경우, 해관에 신고납세 및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수령하거나,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제출해야 한</w:t>
            </w:r>
            <w:r w:rsidRPr="0048168E">
              <w:rPr>
                <w:rFonts w:ascii="한컴바탕" w:eastAsia="한컴바탕" w:hAnsi="한컴바탕" w:cs="한컴바탕" w:hint="eastAsia"/>
                <w:sz w:val="21"/>
                <w:szCs w:val="21"/>
              </w:rPr>
              <w:lastRenderedPageBreak/>
              <w:t>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과세대상선박 책임자는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신청할 경우, 해관에 아래 문건을 제출해야 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(1) 선박국적증서 또는 해사부문이 발급한 선박국적증서 보존증명</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(2) 선박톤수 증명</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제8조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w:t>
            </w:r>
            <w:proofErr w:type="spellEnd"/>
            <w:r w:rsidRPr="0048168E">
              <w:rPr>
                <w:rFonts w:ascii="한컴바탕" w:eastAsia="한컴바탕" w:hAnsi="한컴바탕" w:cs="한컴바탕" w:hint="eastAsia"/>
                <w:sz w:val="21"/>
                <w:szCs w:val="21"/>
              </w:rPr>
              <w:t xml:space="preserve"> 납세의무 발생시간은 과세대상선박이 항구에 진입한 당일로 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과세대상선박이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만기 후 항구에서 출항하지 않은 경우, 신규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신청하고, 1차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기한이 만료한 다음날부터 </w:t>
            </w:r>
            <w:proofErr w:type="spellStart"/>
            <w:r w:rsidRPr="0048168E">
              <w:rPr>
                <w:rFonts w:ascii="한컴바탕" w:eastAsia="한컴바탕" w:hAnsi="한컴바탕" w:cs="한컴바탕" w:hint="eastAsia"/>
                <w:sz w:val="21"/>
                <w:szCs w:val="21"/>
              </w:rPr>
              <w:t>톤세를</w:t>
            </w:r>
            <w:proofErr w:type="spellEnd"/>
            <w:r w:rsidRPr="0048168E">
              <w:rPr>
                <w:rFonts w:ascii="한컴바탕" w:eastAsia="한컴바탕" w:hAnsi="한컴바탕" w:cs="한컴바탕" w:hint="eastAsia"/>
                <w:sz w:val="21"/>
                <w:szCs w:val="21"/>
              </w:rPr>
              <w:t xml:space="preserve"> 납부해야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제9조</w:t>
            </w:r>
            <w:r w:rsidRPr="0048168E">
              <w:rPr>
                <w:rFonts w:ascii="한컴바탕" w:eastAsia="한컴바탕" w:hAnsi="한컴바탕" w:cs="한컴바탕" w:hint="eastAsia"/>
                <w:sz w:val="21"/>
                <w:szCs w:val="21"/>
              </w:rPr>
              <w:t xml:space="preserve"> 다음의 선박은 </w:t>
            </w:r>
            <w:proofErr w:type="spellStart"/>
            <w:r w:rsidRPr="0048168E">
              <w:rPr>
                <w:rFonts w:ascii="한컴바탕" w:eastAsia="한컴바탕" w:hAnsi="한컴바탕" w:cs="한컴바탕" w:hint="eastAsia"/>
                <w:sz w:val="21"/>
                <w:szCs w:val="21"/>
              </w:rPr>
              <w:t>톤세를</w:t>
            </w:r>
            <w:proofErr w:type="spellEnd"/>
            <w:r w:rsidRPr="0048168E">
              <w:rPr>
                <w:rFonts w:ascii="한컴바탕" w:eastAsia="한컴바탕" w:hAnsi="한컴바탕" w:cs="한컴바탕" w:hint="eastAsia"/>
                <w:sz w:val="21"/>
                <w:szCs w:val="21"/>
              </w:rPr>
              <w:t xml:space="preserve"> 면제한다.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(1) 납부할 세액이 </w:t>
            </w:r>
            <w:proofErr w:type="spellStart"/>
            <w:r w:rsidRPr="0048168E">
              <w:rPr>
                <w:rFonts w:ascii="한컴바탕" w:eastAsia="한컴바탕" w:hAnsi="한컴바탕" w:cs="한컴바탕" w:hint="eastAsia"/>
                <w:sz w:val="21"/>
                <w:szCs w:val="21"/>
              </w:rPr>
              <w:t>인민폐</w:t>
            </w:r>
            <w:proofErr w:type="spellEnd"/>
            <w:r w:rsidRPr="0048168E">
              <w:rPr>
                <w:rFonts w:ascii="한컴바탕" w:eastAsia="한컴바탕" w:hAnsi="한컴바탕" w:cs="한컴바탕" w:hint="eastAsia"/>
                <w:sz w:val="21"/>
                <w:szCs w:val="21"/>
              </w:rPr>
              <w:t xml:space="preserve"> 50위안 이하인 선박</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(2) 경외에서 구매, 수령, 상속 등 방식으로 선박소유권을 취득하고 처음 수입하여 항구에 도착한 공적(空载)선박</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(3)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만기 후 24시간 내에 여객 및 화물의 </w:t>
            </w:r>
            <w:proofErr w:type="spellStart"/>
            <w:r w:rsidRPr="0048168E">
              <w:rPr>
                <w:rFonts w:ascii="한컴바탕" w:eastAsia="한컴바탕" w:hAnsi="한컴바탕" w:cs="한컴바탕" w:hint="eastAsia"/>
                <w:sz w:val="21"/>
                <w:szCs w:val="21"/>
              </w:rPr>
              <w:t>승하차</w:t>
            </w:r>
            <w:proofErr w:type="spellEnd"/>
            <w:r w:rsidRPr="0048168E">
              <w:rPr>
                <w:rFonts w:ascii="한컴바탕" w:eastAsia="한컴바탕" w:hAnsi="한컴바탕" w:cs="한컴바탕" w:hint="eastAsia"/>
                <w:sz w:val="21"/>
                <w:szCs w:val="21"/>
              </w:rPr>
              <w:t xml:space="preserve"> 업무가 발생하지 않은 선박</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(4) </w:t>
            </w:r>
            <w:proofErr w:type="spellStart"/>
            <w:r w:rsidRPr="0048168E">
              <w:rPr>
                <w:rFonts w:ascii="한컴바탕" w:eastAsia="한컴바탕" w:hAnsi="한컴바탕" w:cs="한컴바탕" w:hint="eastAsia"/>
                <w:sz w:val="21"/>
                <w:szCs w:val="21"/>
              </w:rPr>
              <w:t>비기동선박</w:t>
            </w:r>
            <w:proofErr w:type="spellEnd"/>
            <w:r w:rsidRPr="0048168E">
              <w:rPr>
                <w:rFonts w:ascii="한컴바탕" w:eastAsia="한컴바탕" w:hAnsi="한컴바탕" w:cs="한컴바탕" w:hint="eastAsia"/>
                <w:sz w:val="21"/>
                <w:szCs w:val="21"/>
              </w:rPr>
              <w:t>(</w:t>
            </w:r>
            <w:proofErr w:type="spellStart"/>
            <w:r w:rsidRPr="0048168E">
              <w:rPr>
                <w:rFonts w:ascii="한컴바탕" w:eastAsia="한컴바탕" w:hAnsi="한컴바탕" w:cs="한컴바탕" w:hint="eastAsia"/>
                <w:sz w:val="21"/>
                <w:szCs w:val="21"/>
              </w:rPr>
              <w:t>비기동</w:t>
            </w:r>
            <w:proofErr w:type="spellEnd"/>
            <w:r w:rsidRPr="0048168E">
              <w:rPr>
                <w:rFonts w:ascii="한컴바탕" w:eastAsia="한컴바탕" w:hAnsi="한컴바탕" w:cs="한컴바탕" w:hint="eastAsia"/>
                <w:sz w:val="21"/>
                <w:szCs w:val="21"/>
              </w:rPr>
              <w:t xml:space="preserve"> 바지선(</w:t>
            </w:r>
            <w:r w:rsidRPr="0048168E">
              <w:rPr>
                <w:rFonts w:ascii="한컴바탕" w:eastAsia="한컴바탕" w:hAnsi="한컴바탕" w:cs="한컴바탕"/>
                <w:sz w:val="21"/>
                <w:szCs w:val="21"/>
              </w:rPr>
              <w:t>barge</w:t>
            </w:r>
            <w:r w:rsidRPr="0048168E">
              <w:rPr>
                <w:rFonts w:ascii="한컴바탕" w:eastAsia="한컴바탕" w:hAnsi="한컴바탕" w:cs="한컴바탕" w:hint="eastAsia"/>
                <w:sz w:val="21"/>
                <w:szCs w:val="21"/>
              </w:rPr>
              <w:t xml:space="preserve"> boat) </w:t>
            </w:r>
            <w:proofErr w:type="spellStart"/>
            <w:r w:rsidRPr="0048168E">
              <w:rPr>
                <w:rFonts w:ascii="한컴바탕" w:eastAsia="한컴바탕" w:hAnsi="한컴바탕" w:cs="한컴바탕" w:hint="eastAsia"/>
                <w:sz w:val="21"/>
                <w:szCs w:val="21"/>
              </w:rPr>
              <w:t>불포함</w:t>
            </w:r>
            <w:proofErr w:type="spellEnd"/>
            <w:r w:rsidRPr="0048168E">
              <w:rPr>
                <w:rFonts w:ascii="한컴바탕" w:eastAsia="한컴바탕" w:hAnsi="한컴바탕" w:cs="한컴바탕" w:hint="eastAsia"/>
                <w:sz w:val="21"/>
                <w:szCs w:val="21"/>
              </w:rPr>
              <w:t>)</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(5) 어선, 양식어선</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(6) 피난, 방역격리, 수리, 운용종료 또는 해체되거나 여객 및 화물의 </w:t>
            </w:r>
            <w:proofErr w:type="spellStart"/>
            <w:r w:rsidRPr="0048168E">
              <w:rPr>
                <w:rFonts w:ascii="한컴바탕" w:eastAsia="한컴바탕" w:hAnsi="한컴바탕" w:cs="한컴바탕" w:hint="eastAsia"/>
                <w:sz w:val="21"/>
                <w:szCs w:val="21"/>
              </w:rPr>
              <w:t>승하차</w:t>
            </w:r>
            <w:proofErr w:type="spellEnd"/>
            <w:r w:rsidRPr="0048168E">
              <w:rPr>
                <w:rFonts w:ascii="한컴바탕" w:eastAsia="한컴바탕" w:hAnsi="한컴바탕" w:cs="한컴바탕" w:hint="eastAsia"/>
                <w:sz w:val="21"/>
                <w:szCs w:val="21"/>
              </w:rPr>
              <w:t xml:space="preserve"> 업무가 발생하지 않은 선박</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(7) 군대, 무장경찰부대 전용 또는 징용 선박</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(8) 법률 규정에 따라 면세해야 할 주중외국대사관, 국제조직의 주중대표기구 및 그 유관인원의 선박</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(9) 국무원이 규정한 기타 선박</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제10조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기한 내에 과세대상선박이 아래 상황 중 하나가 발생할 경우, 해관은 실제 발생한 일수에 따라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기한의 연장을 비준한다.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(1) 피난, 방역격리, 수리, 여객 및 화물의 </w:t>
            </w:r>
            <w:proofErr w:type="spellStart"/>
            <w:r w:rsidRPr="0048168E">
              <w:rPr>
                <w:rFonts w:ascii="한컴바탕" w:eastAsia="한컴바탕" w:hAnsi="한컴바탕" w:cs="한컴바탕" w:hint="eastAsia"/>
                <w:sz w:val="21"/>
                <w:szCs w:val="21"/>
              </w:rPr>
              <w:t>승하차</w:t>
            </w:r>
            <w:proofErr w:type="spellEnd"/>
            <w:r w:rsidRPr="0048168E">
              <w:rPr>
                <w:rFonts w:ascii="한컴바탕" w:eastAsia="한컴바탕" w:hAnsi="한컴바탕" w:cs="한컴바탕" w:hint="eastAsia"/>
                <w:sz w:val="21"/>
                <w:szCs w:val="21"/>
              </w:rPr>
              <w:t xml:space="preserve"> 업무가 발생하지 않은 경우</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(2) 군대, 무장경찰부대의 징용</w:t>
            </w:r>
          </w:p>
          <w:p w:rsidR="008B0A6B" w:rsidRPr="007758FA" w:rsidRDefault="008B0A6B" w:rsidP="007758FA">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7758FA">
              <w:rPr>
                <w:rFonts w:ascii="한컴바탕" w:eastAsia="한컴바탕" w:hAnsi="한컴바탕" w:cs="한컴바탕" w:hint="eastAsia"/>
                <w:spacing w:val="-4"/>
                <w:sz w:val="21"/>
                <w:szCs w:val="21"/>
              </w:rPr>
              <w:t>과세대상선박이 불가항력적인 원인으로 해관지점이 설립되지 않은 곳에 정박한 경우, 선박책임자는 즉시 부근에 있는 해관에 보고해야 하며, 불가항력적인 원인이 해소된 후에는 본 조례의 규정에 의거하여 해관에 신고납부 해야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 xml:space="preserve">제11조 </w:t>
            </w:r>
            <w:r w:rsidRPr="0048168E">
              <w:rPr>
                <w:rFonts w:ascii="한컴바탕" w:eastAsia="한컴바탕" w:hAnsi="한컴바탕" w:cs="한컴바탕" w:hint="eastAsia"/>
                <w:sz w:val="21"/>
                <w:szCs w:val="21"/>
              </w:rPr>
              <w:t>본 조례 제9조 제5항부터 제8항, 제10조 규정에 부합하는 선박은 해사부문, 어</w:t>
            </w:r>
            <w:r w:rsidRPr="0048168E">
              <w:rPr>
                <w:rFonts w:ascii="한컴바탕" w:eastAsia="한컴바탕" w:hAnsi="한컴바탕" w:cs="한컴바탕" w:hint="eastAsia"/>
                <w:sz w:val="21"/>
                <w:szCs w:val="21"/>
              </w:rPr>
              <w:lastRenderedPageBreak/>
              <w:t xml:space="preserve">업선박관리부문 또는 위생검역부문 등 부문, 기구가 발급한 법적 효력이 있는 증명문건 또는 사용관계증명 문건을 제출해야 하며, 면세 또는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기한의 연장 근거와 이유를 자세히 설명해야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제12조</w:t>
            </w:r>
            <w:r w:rsidRPr="0048168E">
              <w:rPr>
                <w:rFonts w:ascii="한컴바탕" w:eastAsia="한컴바탕" w:hAnsi="한컴바탕" w:cs="한컴바탕" w:hint="eastAsia"/>
                <w:sz w:val="21"/>
                <w:szCs w:val="21"/>
              </w:rPr>
              <w:t xml:space="preserve"> 과세대상선박 책임자는 해관이 </w:t>
            </w:r>
            <w:proofErr w:type="spellStart"/>
            <w:r w:rsidRPr="0048168E">
              <w:rPr>
                <w:rFonts w:ascii="한컴바탕" w:eastAsia="한컴바탕" w:hAnsi="한컴바탕" w:cs="한컴바탕" w:hint="eastAsia"/>
                <w:sz w:val="21"/>
                <w:szCs w:val="21"/>
              </w:rPr>
              <w:t>톤세납부</w:t>
            </w:r>
            <w:proofErr w:type="spellEnd"/>
            <w:r w:rsidRPr="0048168E">
              <w:rPr>
                <w:rFonts w:ascii="한컴바탕" w:eastAsia="한컴바탕" w:hAnsi="한컴바탕" w:cs="한컴바탕" w:hint="eastAsia"/>
                <w:sz w:val="21"/>
                <w:szCs w:val="21"/>
              </w:rPr>
              <w:t xml:space="preserve"> 증빙을 발급한 날부터 15일 내에 지정은행에 세금을 납부완료 해야 한다. 기한에 따라 세금을 </w:t>
            </w:r>
            <w:proofErr w:type="spellStart"/>
            <w:r w:rsidRPr="0048168E">
              <w:rPr>
                <w:rFonts w:ascii="한컴바탕" w:eastAsia="한컴바탕" w:hAnsi="한컴바탕" w:cs="한컴바탕" w:hint="eastAsia"/>
                <w:sz w:val="21"/>
                <w:szCs w:val="21"/>
              </w:rPr>
              <w:t>납부완료하지</w:t>
            </w:r>
            <w:proofErr w:type="spellEnd"/>
            <w:r w:rsidRPr="0048168E">
              <w:rPr>
                <w:rFonts w:ascii="한컴바탕" w:eastAsia="한컴바탕" w:hAnsi="한컴바탕" w:cs="한컴바탕" w:hint="eastAsia"/>
                <w:sz w:val="21"/>
                <w:szCs w:val="21"/>
              </w:rPr>
              <w:t xml:space="preserve"> 않은 경우, </w:t>
            </w:r>
            <w:proofErr w:type="spellStart"/>
            <w:r w:rsidRPr="0048168E">
              <w:rPr>
                <w:rFonts w:ascii="한컴바탕" w:eastAsia="한컴바탕" w:hAnsi="한컴바탕" w:cs="한컴바탕" w:hint="eastAsia"/>
                <w:sz w:val="21"/>
                <w:szCs w:val="21"/>
              </w:rPr>
              <w:t>세액체납일부터</w:t>
            </w:r>
            <w:proofErr w:type="spellEnd"/>
            <w:r w:rsidRPr="0048168E">
              <w:rPr>
                <w:rFonts w:ascii="한컴바탕" w:eastAsia="한컴바탕" w:hAnsi="한컴바탕" w:cs="한컴바탕" w:hint="eastAsia"/>
                <w:sz w:val="21"/>
                <w:szCs w:val="21"/>
              </w:rPr>
              <w:t xml:space="preserve"> 하루 당 체납세액의 0.5%에 따라 체납금을 추가징수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제13조</w:t>
            </w:r>
            <w:r w:rsidRPr="0048168E">
              <w:rPr>
                <w:rFonts w:ascii="한컴바탕" w:eastAsia="한컴바탕" w:hAnsi="한컴바탕" w:cs="한컴바탕" w:hint="eastAsia"/>
                <w:sz w:val="21"/>
                <w:szCs w:val="21"/>
              </w:rPr>
              <w:t xml:space="preserve"> 과세대상선박이 항구에 도착하기 전에 해관의 비준을 취득하고 선행신고 및 </w:t>
            </w:r>
            <w:proofErr w:type="spellStart"/>
            <w:r w:rsidRPr="0048168E">
              <w:rPr>
                <w:rFonts w:ascii="한컴바탕" w:eastAsia="한컴바탕" w:hAnsi="한컴바탕" w:cs="한컴바탕" w:hint="eastAsia"/>
                <w:sz w:val="21"/>
                <w:szCs w:val="21"/>
              </w:rPr>
              <w:t>출입경</w:t>
            </w:r>
            <w:proofErr w:type="spellEnd"/>
            <w:r w:rsidRPr="0048168E">
              <w:rPr>
                <w:rFonts w:ascii="한컴바탕" w:eastAsia="한컴바탕" w:hAnsi="한컴바탕" w:cs="한컴바탕" w:hint="eastAsia"/>
                <w:sz w:val="21"/>
                <w:szCs w:val="21"/>
              </w:rPr>
              <w:t xml:space="preserve"> 수속을 </w:t>
            </w:r>
            <w:proofErr w:type="spellStart"/>
            <w:r w:rsidRPr="0048168E">
              <w:rPr>
                <w:rFonts w:ascii="한컴바탕" w:eastAsia="한컴바탕" w:hAnsi="한컴바탕" w:cs="한컴바탕" w:hint="eastAsia"/>
                <w:sz w:val="21"/>
                <w:szCs w:val="21"/>
              </w:rPr>
              <w:t>처리완료한</w:t>
            </w:r>
            <w:proofErr w:type="spellEnd"/>
            <w:r w:rsidRPr="0048168E">
              <w:rPr>
                <w:rFonts w:ascii="한컴바탕" w:eastAsia="한컴바탕" w:hAnsi="한컴바탕" w:cs="한컴바탕" w:hint="eastAsia"/>
                <w:sz w:val="21"/>
                <w:szCs w:val="21"/>
              </w:rPr>
              <w:t xml:space="preserve"> 경우, 과세대상선박 책임자는 해관에 법에 따른 </w:t>
            </w:r>
            <w:proofErr w:type="spellStart"/>
            <w:r w:rsidRPr="0048168E">
              <w:rPr>
                <w:rFonts w:ascii="한컴바탕" w:eastAsia="한컴바탕" w:hAnsi="한컴바탕" w:cs="한컴바탕" w:hint="eastAsia"/>
                <w:sz w:val="21"/>
                <w:szCs w:val="21"/>
              </w:rPr>
              <w:t>톤세</w:t>
            </w:r>
            <w:proofErr w:type="spellEnd"/>
            <w:r w:rsidRPr="0048168E">
              <w:rPr>
                <w:rFonts w:ascii="한컴바탕" w:eastAsia="한컴바탕" w:hAnsi="한컴바탕" w:cs="한컴바탕" w:hint="eastAsia"/>
                <w:sz w:val="21"/>
                <w:szCs w:val="21"/>
              </w:rPr>
              <w:t xml:space="preserve"> 납세의무 이행과 상응하는 담보를 제공해야 한다. 과세대상선박이 항구에 도착한 후에는 본 조례의 규정에 의거하여 해관에 신고납부 한다.</w:t>
            </w:r>
          </w:p>
          <w:p w:rsidR="008B0A6B" w:rsidRPr="004F2CC1" w:rsidRDefault="008B0A6B" w:rsidP="004F2CC1">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4F2CC1">
              <w:rPr>
                <w:rFonts w:ascii="한컴바탕" w:eastAsia="한컴바탕" w:hAnsi="한컴바탕" w:cs="한컴바탕" w:hint="eastAsia"/>
                <w:spacing w:val="-4"/>
                <w:sz w:val="21"/>
                <w:szCs w:val="21"/>
              </w:rPr>
              <w:t>다음의 재산, 권리는 담보로 사용할 수 있다.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(1) </w:t>
            </w:r>
            <w:proofErr w:type="spellStart"/>
            <w:r w:rsidRPr="0048168E">
              <w:rPr>
                <w:rFonts w:ascii="한컴바탕" w:eastAsia="한컴바탕" w:hAnsi="한컴바탕" w:cs="한컴바탕" w:hint="eastAsia"/>
                <w:sz w:val="21"/>
                <w:szCs w:val="21"/>
              </w:rPr>
              <w:t>인민폐</w:t>
            </w:r>
            <w:proofErr w:type="spellEnd"/>
            <w:r w:rsidRPr="0048168E">
              <w:rPr>
                <w:rFonts w:ascii="한컴바탕" w:eastAsia="한컴바탕" w:hAnsi="한컴바탕" w:cs="한컴바탕" w:hint="eastAsia"/>
                <w:sz w:val="21"/>
                <w:szCs w:val="21"/>
              </w:rPr>
              <w:t>, 자유전환가능화폐</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(2) 환어음, 어음, 수표, 채권, 예금증서</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(3) 은행, </w:t>
            </w:r>
            <w:proofErr w:type="spellStart"/>
            <w:r w:rsidRPr="0048168E">
              <w:rPr>
                <w:rFonts w:ascii="한컴바탕" w:eastAsia="한컴바탕" w:hAnsi="한컴바탕" w:cs="한컴바탕" w:hint="eastAsia"/>
                <w:sz w:val="21"/>
                <w:szCs w:val="21"/>
              </w:rPr>
              <w:t>비은행</w:t>
            </w:r>
            <w:proofErr w:type="spellEnd"/>
            <w:r w:rsidRPr="0048168E">
              <w:rPr>
                <w:rFonts w:ascii="한컴바탕" w:eastAsia="한컴바탕" w:hAnsi="한컴바탕" w:cs="한컴바탕" w:hint="eastAsia"/>
                <w:sz w:val="21"/>
                <w:szCs w:val="21"/>
              </w:rPr>
              <w:t xml:space="preserve"> 금융기구의 보증서</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(4) 해관이 법에 의거하여 인가한 기타 재산, 권리</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제14조</w:t>
            </w:r>
            <w:r w:rsidRPr="0048168E">
              <w:rPr>
                <w:rFonts w:ascii="한컴바탕" w:eastAsia="한컴바탕" w:hAnsi="한컴바탕" w:cs="한컴바탕" w:hint="eastAsia"/>
                <w:sz w:val="21"/>
                <w:szCs w:val="21"/>
              </w:rPr>
              <w:t xml:space="preserve"> 과세대상선박이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기한 내에 수리로 인해 </w:t>
            </w:r>
            <w:proofErr w:type="spellStart"/>
            <w:r w:rsidRPr="0048168E">
              <w:rPr>
                <w:rFonts w:ascii="한컴바탕" w:eastAsia="한컴바탕" w:hAnsi="한컴바탕" w:cs="한컴바탕" w:hint="eastAsia"/>
                <w:sz w:val="21"/>
                <w:szCs w:val="21"/>
              </w:rPr>
              <w:t>순톤수에</w:t>
            </w:r>
            <w:proofErr w:type="spellEnd"/>
            <w:r w:rsidRPr="0048168E">
              <w:rPr>
                <w:rFonts w:ascii="한컴바탕" w:eastAsia="한컴바탕" w:hAnsi="한컴바탕" w:cs="한컴바탕" w:hint="eastAsia"/>
                <w:sz w:val="21"/>
                <w:szCs w:val="21"/>
              </w:rPr>
              <w:t xml:space="preserve"> 변동이 </w:t>
            </w:r>
            <w:proofErr w:type="spellStart"/>
            <w:r w:rsidRPr="0048168E">
              <w:rPr>
                <w:rFonts w:ascii="한컴바탕" w:eastAsia="한컴바탕" w:hAnsi="한컴바탕" w:cs="한컴바탕" w:hint="eastAsia"/>
                <w:sz w:val="21"/>
                <w:szCs w:val="21"/>
              </w:rPr>
              <w:t>발생한경우</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는</w:t>
            </w:r>
            <w:proofErr w:type="spellEnd"/>
            <w:r w:rsidRPr="0048168E">
              <w:rPr>
                <w:rFonts w:ascii="한컴바탕" w:eastAsia="한컴바탕" w:hAnsi="한컴바탕" w:cs="한컴바탕" w:hint="eastAsia"/>
                <w:sz w:val="21"/>
                <w:szCs w:val="21"/>
              </w:rPr>
              <w:t xml:space="preserve"> 계속 유효하다. 과세대상선박은 </w:t>
            </w:r>
            <w:proofErr w:type="spellStart"/>
            <w:r w:rsidRPr="0048168E">
              <w:rPr>
                <w:rFonts w:ascii="한컴바탕" w:eastAsia="한컴바탕" w:hAnsi="한컴바탕" w:cs="한컴바탕" w:hint="eastAsia"/>
                <w:sz w:val="21"/>
                <w:szCs w:val="21"/>
              </w:rPr>
              <w:t>출입경수속을</w:t>
            </w:r>
            <w:proofErr w:type="spellEnd"/>
            <w:r w:rsidRPr="0048168E">
              <w:rPr>
                <w:rFonts w:ascii="한컴바탕" w:eastAsia="한컴바탕" w:hAnsi="한컴바탕" w:cs="한컴바탕" w:hint="eastAsia"/>
                <w:sz w:val="21"/>
                <w:szCs w:val="21"/>
              </w:rPr>
              <w:t xml:space="preserve"> 처리할 경우, 선박의 수리증명문건을 제출해야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제15조</w:t>
            </w:r>
            <w:r w:rsidRPr="0048168E">
              <w:rPr>
                <w:rFonts w:ascii="한컴바탕" w:eastAsia="한컴바탕" w:hAnsi="한컴바탕" w:cs="한컴바탕" w:hint="eastAsia"/>
                <w:sz w:val="21"/>
                <w:szCs w:val="21"/>
              </w:rPr>
              <w:t xml:space="preserve"> 과세대상선박이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기한 내에 세목세율의 조정 또는 선박국적의 변경으로 인해 적용세율에 변동이 발생한 경우,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는</w:t>
            </w:r>
            <w:proofErr w:type="spellEnd"/>
            <w:r w:rsidRPr="0048168E">
              <w:rPr>
                <w:rFonts w:ascii="한컴바탕" w:eastAsia="한컴바탕" w:hAnsi="한컴바탕" w:cs="한컴바탕" w:hint="eastAsia"/>
                <w:sz w:val="21"/>
                <w:szCs w:val="21"/>
              </w:rPr>
              <w:t xml:space="preserve"> 계속 유효하다.</w:t>
            </w:r>
          </w:p>
          <w:p w:rsidR="008B0A6B" w:rsidRPr="004F2CC1" w:rsidRDefault="008B0A6B" w:rsidP="004F2CC1">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4F2CC1">
              <w:rPr>
                <w:rFonts w:ascii="한컴바탕" w:eastAsia="한컴바탕" w:hAnsi="한컴바탕" w:cs="한컴바탕" w:hint="eastAsia"/>
                <w:spacing w:val="-2"/>
                <w:sz w:val="21"/>
                <w:szCs w:val="21"/>
              </w:rPr>
              <w:t xml:space="preserve">선박국적의 변경으로 적용세율의 변동이 있을 경우, 과세대상선박은 </w:t>
            </w:r>
            <w:proofErr w:type="spellStart"/>
            <w:r w:rsidRPr="004F2CC1">
              <w:rPr>
                <w:rFonts w:ascii="한컴바탕" w:eastAsia="한컴바탕" w:hAnsi="한컴바탕" w:cs="한컴바탕" w:hint="eastAsia"/>
                <w:spacing w:val="-2"/>
                <w:sz w:val="21"/>
                <w:szCs w:val="21"/>
              </w:rPr>
              <w:t>출입경수속</w:t>
            </w:r>
            <w:proofErr w:type="spellEnd"/>
            <w:r w:rsidRPr="004F2CC1">
              <w:rPr>
                <w:rFonts w:ascii="한컴바탕" w:eastAsia="한컴바탕" w:hAnsi="한컴바탕" w:cs="한컴바탕" w:hint="eastAsia"/>
                <w:spacing w:val="-2"/>
                <w:sz w:val="21"/>
                <w:szCs w:val="21"/>
              </w:rPr>
              <w:t xml:space="preserve"> 처리 시, 선박국적의 변경 증명문건을 제출해야 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제16조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만기 전에 훼손 또는 분실한 경우, 기존 허가증 발급 해관에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부분의 발급을 서면으로 신청해야 하며, 더 이상 보세(补税)하지 않는다.</w:t>
            </w:r>
          </w:p>
          <w:p w:rsidR="008B0A6B" w:rsidRPr="001550E9" w:rsidRDefault="008B0A6B" w:rsidP="001550E9">
            <w:pPr>
              <w:topLinePunct/>
              <w:autoSpaceDE/>
              <w:adjustRightInd w:val="0"/>
              <w:snapToGrid w:val="0"/>
              <w:spacing w:line="290" w:lineRule="atLeast"/>
              <w:ind w:firstLineChars="200" w:firstLine="364"/>
              <w:rPr>
                <w:rFonts w:ascii="한컴바탕" w:eastAsia="한컴바탕" w:hAnsi="한컴바탕" w:cs="한컴바탕"/>
                <w:spacing w:val="-12"/>
                <w:sz w:val="21"/>
                <w:szCs w:val="21"/>
              </w:rPr>
            </w:pPr>
            <w:r w:rsidRPr="001550E9">
              <w:rPr>
                <w:rFonts w:ascii="한컴바탕" w:eastAsia="한컴바탕" w:hAnsi="한컴바탕" w:cs="한컴바탕" w:hint="eastAsia"/>
                <w:b/>
                <w:spacing w:val="-12"/>
                <w:sz w:val="21"/>
                <w:szCs w:val="21"/>
              </w:rPr>
              <w:t>제17조</w:t>
            </w:r>
            <w:r w:rsidRPr="001550E9">
              <w:rPr>
                <w:rFonts w:ascii="한컴바탕" w:eastAsia="한컴바탕" w:hAnsi="한컴바탕" w:cs="한컴바탕" w:hint="eastAsia"/>
                <w:spacing w:val="-12"/>
                <w:sz w:val="21"/>
                <w:szCs w:val="21"/>
              </w:rPr>
              <w:t xml:space="preserve"> 해관이 세금의 과소징수 또는 징수누락을 발견할 경우, 과세대상선박이 세금을 납부해야 하는 날로부터 1년 내에 세금을 추가징수 해야 한다. 단, 과세대상선박이 규정을 위반하여 세금의 과소징수 또는 징수누락이 초래된 경우, 해관은 세금을 납부해야 하는 날로부터 3년 내에 세금을 추징할 수 있다. 세금</w:t>
            </w:r>
            <w:r w:rsidRPr="001550E9">
              <w:rPr>
                <w:rFonts w:ascii="한컴바탕" w:eastAsia="한컴바탕" w:hAnsi="한컴바탕" w:cs="한컴바탕" w:hint="eastAsia"/>
                <w:spacing w:val="-12"/>
                <w:sz w:val="21"/>
                <w:szCs w:val="21"/>
              </w:rPr>
              <w:lastRenderedPageBreak/>
              <w:t xml:space="preserve">을 납부해야 하는 날로부터 하루 당 과소징수 또는 징수누락세액의 0.5%에 따라 체납금을 </w:t>
            </w:r>
            <w:proofErr w:type="spellStart"/>
            <w:r w:rsidRPr="001550E9">
              <w:rPr>
                <w:rFonts w:ascii="한컴바탕" w:eastAsia="한컴바탕" w:hAnsi="한컴바탕" w:cs="한컴바탕" w:hint="eastAsia"/>
                <w:spacing w:val="-12"/>
                <w:sz w:val="21"/>
                <w:szCs w:val="21"/>
              </w:rPr>
              <w:t>가산징수한다</w:t>
            </w:r>
            <w:proofErr w:type="spellEnd"/>
            <w:r w:rsidRPr="001550E9">
              <w:rPr>
                <w:rFonts w:ascii="한컴바탕" w:eastAsia="한컴바탕" w:hAnsi="한컴바탕" w:cs="한컴바탕" w:hint="eastAsia"/>
                <w:spacing w:val="-12"/>
                <w:sz w:val="21"/>
                <w:szCs w:val="21"/>
              </w:rPr>
              <w:t>.</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해관이 과다징수세액을 발견한 경우, 즉시 과세대상선박의 환급수속 처리를 통지하고, 은행의 동기 당좌예금 이자를 가산해야 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과세대상선박이 초과납부세액을 발견한 경우, 세금납부일로부터 1년 내에 서면형식으로 해관에 초과납부 한 세금을 환급하고, 은행의 동기 당좌예금 이자를 가산하도록 요구할 수 있다. 해관은 세금환급신청 수리일로부터 30일 내에 조사하여 확인하고, 과세대상선박의 환급수속을 처리하도록 통지해야 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과세대상선박은 본 조례 제2관, 제3관에서 규정한 통지를 수취한 날부터 3개월 이내에 유관 환급수속을 처리해야 한다.</w:t>
            </w:r>
          </w:p>
          <w:p w:rsidR="008B0A6B" w:rsidRPr="001550E9" w:rsidRDefault="008B0A6B" w:rsidP="001550E9">
            <w:pPr>
              <w:topLinePunct/>
              <w:autoSpaceDE/>
              <w:adjustRightInd w:val="0"/>
              <w:snapToGrid w:val="0"/>
              <w:spacing w:line="290" w:lineRule="atLeast"/>
              <w:ind w:firstLineChars="200" w:firstLine="372"/>
              <w:rPr>
                <w:rFonts w:ascii="한컴바탕" w:eastAsia="한컴바탕" w:hAnsi="한컴바탕" w:cs="한컴바탕"/>
                <w:spacing w:val="-10"/>
                <w:sz w:val="21"/>
                <w:szCs w:val="21"/>
              </w:rPr>
            </w:pPr>
            <w:r w:rsidRPr="001550E9">
              <w:rPr>
                <w:rFonts w:ascii="한컴바탕" w:eastAsia="한컴바탕" w:hAnsi="한컴바탕" w:cs="한컴바탕" w:hint="eastAsia"/>
                <w:b/>
                <w:spacing w:val="-10"/>
                <w:sz w:val="21"/>
                <w:szCs w:val="21"/>
              </w:rPr>
              <w:t>제18조</w:t>
            </w:r>
            <w:r w:rsidRPr="001550E9">
              <w:rPr>
                <w:rFonts w:ascii="한컴바탕" w:eastAsia="한컴바탕" w:hAnsi="한컴바탕" w:cs="한컴바탕" w:hint="eastAsia"/>
                <w:spacing w:val="-10"/>
                <w:sz w:val="21"/>
                <w:szCs w:val="21"/>
              </w:rPr>
              <w:t xml:space="preserve"> 과세대상선박이 아래 행위 중 하나에 해당할 경우, 해관은 기한 내 개정을 명령하고, 2,000위안 이상, 3만 위안 이하의 벌금을 부과한다. 세금을 납부하지 않거나 </w:t>
            </w:r>
            <w:proofErr w:type="spellStart"/>
            <w:r w:rsidRPr="001550E9">
              <w:rPr>
                <w:rFonts w:ascii="한컴바탕" w:eastAsia="한컴바탕" w:hAnsi="한컴바탕" w:cs="한컴바탕" w:hint="eastAsia"/>
                <w:spacing w:val="-10"/>
                <w:sz w:val="21"/>
                <w:szCs w:val="21"/>
              </w:rPr>
              <w:t>과소납부할</w:t>
            </w:r>
            <w:proofErr w:type="spellEnd"/>
            <w:r w:rsidRPr="001550E9">
              <w:rPr>
                <w:rFonts w:ascii="한컴바탕" w:eastAsia="한컴바탕" w:hAnsi="한컴바탕" w:cs="한컴바탕" w:hint="eastAsia"/>
                <w:spacing w:val="-10"/>
                <w:sz w:val="21"/>
                <w:szCs w:val="21"/>
              </w:rPr>
              <w:t xml:space="preserve"> 경우, 미납 또는 과소납부 한 세액의 50%이상, 5배 이하의 벌금을 부과한다. 단, 벌금은 2,000위안 이상이어야 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(1) 규정에 따라 </w:t>
            </w:r>
            <w:proofErr w:type="spellStart"/>
            <w:r w:rsidRPr="0048168E">
              <w:rPr>
                <w:rFonts w:ascii="한컴바탕" w:eastAsia="한컴바탕" w:hAnsi="한컴바탕" w:cs="한컴바탕" w:hint="eastAsia"/>
                <w:sz w:val="21"/>
                <w:szCs w:val="21"/>
              </w:rPr>
              <w:t>신고납부하지</w:t>
            </w:r>
            <w:proofErr w:type="spellEnd"/>
            <w:r w:rsidRPr="0048168E">
              <w:rPr>
                <w:rFonts w:ascii="한컴바탕" w:eastAsia="한컴바탕" w:hAnsi="한컴바탕" w:cs="한컴바탕" w:hint="eastAsia"/>
                <w:sz w:val="21"/>
                <w:szCs w:val="21"/>
              </w:rPr>
              <w:t xml:space="preserve"> 않고, </w:t>
            </w:r>
            <w:proofErr w:type="spellStart"/>
            <w:r w:rsidRPr="0048168E">
              <w:rPr>
                <w:rFonts w:ascii="한컴바탕" w:eastAsia="한컴바탕" w:hAnsi="한컴바탕" w:cs="한컴바탕" w:hint="eastAsia"/>
                <w:sz w:val="21"/>
                <w:szCs w:val="21"/>
              </w:rPr>
              <w:t>톤세집조</w:t>
            </w:r>
            <w:r w:rsidRPr="0048168E">
              <w:rPr>
                <w:rFonts w:ascii="한컴바탕" w:eastAsia="한컴바탕" w:hAnsi="한컴바탕" w:cs="한컴바탕"/>
                <w:sz w:val="21"/>
                <w:szCs w:val="21"/>
              </w:rPr>
              <w:t>를</w:t>
            </w:r>
            <w:proofErr w:type="spellEnd"/>
            <w:r w:rsidRPr="0048168E">
              <w:rPr>
                <w:rFonts w:ascii="한컴바탕" w:eastAsia="한컴바탕" w:hAnsi="한컴바탕" w:cs="한컴바탕" w:hint="eastAsia"/>
                <w:sz w:val="21"/>
                <w:szCs w:val="21"/>
              </w:rPr>
              <w:t xml:space="preserve"> 수령하지 않은 경우</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 xml:space="preserve">(2) 규정에 따라 </w:t>
            </w:r>
            <w:proofErr w:type="spellStart"/>
            <w:r w:rsidRPr="0048168E">
              <w:rPr>
                <w:rFonts w:ascii="한컴바탕" w:eastAsia="한컴바탕" w:hAnsi="한컴바탕" w:cs="한컴바탕" w:hint="eastAsia"/>
                <w:sz w:val="21"/>
                <w:szCs w:val="21"/>
              </w:rPr>
              <w:t>톤세집조</w:t>
            </w:r>
            <w:proofErr w:type="spellEnd"/>
            <w:r w:rsidRPr="0048168E">
              <w:rPr>
                <w:rFonts w:ascii="한컴바탕" w:eastAsia="한컴바탕" w:hAnsi="한컴바탕" w:cs="한컴바탕" w:hint="eastAsia"/>
                <w:sz w:val="21"/>
                <w:szCs w:val="21"/>
              </w:rPr>
              <w:t xml:space="preserve"> 및 기타 증명문건을 검증 받지 않은 경우</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제19조</w:t>
            </w:r>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톤세세액</w:t>
            </w:r>
            <w:proofErr w:type="spellEnd"/>
            <w:r w:rsidRPr="0048168E">
              <w:rPr>
                <w:rFonts w:ascii="한컴바탕" w:eastAsia="한컴바탕" w:hAnsi="한컴바탕" w:cs="한컴바탕" w:hint="eastAsia"/>
                <w:sz w:val="21"/>
                <w:szCs w:val="21"/>
              </w:rPr>
              <w:t xml:space="preserve">, 체납금, 벌금은 </w:t>
            </w:r>
            <w:proofErr w:type="spellStart"/>
            <w:r w:rsidRPr="0048168E">
              <w:rPr>
                <w:rFonts w:ascii="한컴바탕" w:eastAsia="한컴바탕" w:hAnsi="한컴바탕" w:cs="한컴바탕" w:hint="eastAsia"/>
                <w:sz w:val="21"/>
                <w:szCs w:val="21"/>
              </w:rPr>
              <w:t>인민폐로</w:t>
            </w:r>
            <w:proofErr w:type="spellEnd"/>
            <w:r w:rsidRPr="0048168E">
              <w:rPr>
                <w:rFonts w:ascii="한컴바탕" w:eastAsia="한컴바탕" w:hAnsi="한컴바탕" w:cs="한컴바탕" w:hint="eastAsia"/>
                <w:sz w:val="21"/>
                <w:szCs w:val="21"/>
              </w:rPr>
              <w:t xml:space="preserve"> 계산한다.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제20조</w:t>
            </w:r>
            <w:r w:rsidRPr="0048168E">
              <w:rPr>
                <w:rFonts w:ascii="한컴바탕" w:eastAsia="한컴바탕" w:hAnsi="한컴바탕" w:cs="한컴바탕" w:hint="eastAsia"/>
                <w:sz w:val="21"/>
                <w:szCs w:val="21"/>
              </w:rPr>
              <w:t xml:space="preserve"> 본 조례의 용어는 아래 의미를 포함한다.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48168E">
              <w:rPr>
                <w:rFonts w:ascii="한컴바탕" w:eastAsia="한컴바탕" w:hAnsi="한컴바탕" w:cs="한컴바탕" w:hint="eastAsia"/>
                <w:sz w:val="21"/>
                <w:szCs w:val="21"/>
              </w:rPr>
              <w:t>순톤수란</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선적국</w:t>
            </w:r>
            <w:proofErr w:type="spellEnd"/>
            <w:r w:rsidRPr="0048168E">
              <w:rPr>
                <w:rFonts w:ascii="한컴바탕" w:eastAsia="한컴바탕" w:hAnsi="한컴바탕" w:cs="한컴바탕" w:hint="eastAsia"/>
                <w:sz w:val="21"/>
                <w:szCs w:val="21"/>
              </w:rPr>
              <w:t xml:space="preserve">(지역) 정부가 수권하여 발급한 선박톤수증명서 상에 명시된 </w:t>
            </w:r>
            <w:proofErr w:type="spellStart"/>
            <w:r w:rsidRPr="0048168E">
              <w:rPr>
                <w:rFonts w:ascii="한컴바탕" w:eastAsia="한컴바탕" w:hAnsi="한컴바탕" w:cs="한컴바탕" w:hint="eastAsia"/>
                <w:sz w:val="21"/>
                <w:szCs w:val="21"/>
              </w:rPr>
              <w:t>순톤수를</w:t>
            </w:r>
            <w:proofErr w:type="spellEnd"/>
            <w:r w:rsidRPr="0048168E">
              <w:rPr>
                <w:rFonts w:ascii="한컴바탕" w:eastAsia="한컴바탕" w:hAnsi="한컴바탕" w:cs="한컴바탕" w:hint="eastAsia"/>
                <w:sz w:val="21"/>
                <w:szCs w:val="21"/>
              </w:rPr>
              <w:t xml:space="preserve"> 말한다.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48168E">
              <w:rPr>
                <w:rFonts w:ascii="한컴바탕" w:eastAsia="한컴바탕" w:hAnsi="한컴바탕" w:cs="한컴바탕" w:hint="eastAsia"/>
                <w:sz w:val="21"/>
                <w:szCs w:val="21"/>
              </w:rPr>
              <w:t>비기동선박이란</w:t>
            </w:r>
            <w:proofErr w:type="spellEnd"/>
            <w:r w:rsidRPr="0048168E">
              <w:rPr>
                <w:rFonts w:ascii="한컴바탕" w:eastAsia="한컴바탕" w:hAnsi="한컴바탕" w:cs="한컴바탕" w:hint="eastAsia"/>
                <w:sz w:val="21"/>
                <w:szCs w:val="21"/>
              </w:rPr>
              <w:t xml:space="preserve"> 자체적인 동력장치 없이, 외부 힘에 의해 추진하는 선박을 말한다.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48168E">
              <w:rPr>
                <w:rFonts w:ascii="한컴바탕" w:eastAsia="한컴바탕" w:hAnsi="한컴바탕" w:cs="한컴바탕" w:hint="eastAsia"/>
                <w:sz w:val="21"/>
                <w:szCs w:val="21"/>
              </w:rPr>
              <w:t>비기동</w:t>
            </w:r>
            <w:proofErr w:type="spellEnd"/>
            <w:r w:rsidRPr="0048168E">
              <w:rPr>
                <w:rFonts w:ascii="한컴바탕" w:eastAsia="한컴바탕" w:hAnsi="한컴바탕" w:cs="한컴바탕" w:hint="eastAsia"/>
                <w:sz w:val="21"/>
                <w:szCs w:val="21"/>
              </w:rPr>
              <w:t xml:space="preserve"> 바지선이란 선박관리부분에 바지선으로 등기된 </w:t>
            </w:r>
            <w:proofErr w:type="spellStart"/>
            <w:r w:rsidRPr="0048168E">
              <w:rPr>
                <w:rFonts w:ascii="한컴바탕" w:eastAsia="한컴바탕" w:hAnsi="한컴바탕" w:cs="한컴바탕" w:hint="eastAsia"/>
                <w:sz w:val="21"/>
                <w:szCs w:val="21"/>
              </w:rPr>
              <w:t>비기동선박을</w:t>
            </w:r>
            <w:proofErr w:type="spellEnd"/>
            <w:r w:rsidRPr="0048168E">
              <w:rPr>
                <w:rFonts w:ascii="한컴바탕" w:eastAsia="한컴바탕" w:hAnsi="한컴바탕" w:cs="한컴바탕" w:hint="eastAsia"/>
                <w:sz w:val="21"/>
                <w:szCs w:val="21"/>
              </w:rPr>
              <w:t xml:space="preserve"> 말한다.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48168E">
              <w:rPr>
                <w:rFonts w:ascii="한컴바탕" w:eastAsia="한컴바탕" w:hAnsi="한컴바탕" w:cs="한컴바탕" w:hint="eastAsia"/>
                <w:sz w:val="21"/>
                <w:szCs w:val="21"/>
              </w:rPr>
              <w:t>어선, 양식어선이란 중화인문공화국 어업선박관리부문에 어선 또는 양식어선으로 등기된 선박을 말한다.</w:t>
            </w:r>
          </w:p>
          <w:p w:rsidR="008B0A6B" w:rsidRPr="002B1B5E" w:rsidRDefault="008B0A6B" w:rsidP="002B1B5E">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2B1B5E">
              <w:rPr>
                <w:rFonts w:ascii="한컴바탕" w:eastAsia="한컴바탕" w:hAnsi="한컴바탕" w:cs="한컴바탕" w:hint="eastAsia"/>
                <w:spacing w:val="-4"/>
                <w:sz w:val="21"/>
                <w:szCs w:val="21"/>
              </w:rPr>
              <w:t xml:space="preserve">예인선이란 운송선의 예인에 전문적으로 사용되는 전문작업선박을 말한다. 예인선은 엔진동력에 따라 1kw 당 </w:t>
            </w:r>
            <w:proofErr w:type="spellStart"/>
            <w:r w:rsidRPr="002B1B5E">
              <w:rPr>
                <w:rFonts w:ascii="한컴바탕" w:eastAsia="한컴바탕" w:hAnsi="한컴바탕" w:cs="한컴바탕" w:hint="eastAsia"/>
                <w:spacing w:val="-4"/>
                <w:sz w:val="21"/>
                <w:szCs w:val="21"/>
              </w:rPr>
              <w:t>순톤수</w:t>
            </w:r>
            <w:proofErr w:type="spellEnd"/>
            <w:r w:rsidRPr="002B1B5E">
              <w:rPr>
                <w:rFonts w:ascii="한컴바탕" w:eastAsia="한컴바탕" w:hAnsi="한컴바탕" w:cs="한컴바탕" w:hint="eastAsia"/>
                <w:spacing w:val="-4"/>
                <w:sz w:val="21"/>
                <w:szCs w:val="21"/>
              </w:rPr>
              <w:t xml:space="preserve"> 0.67톤으로 환산한다.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roofErr w:type="spellStart"/>
            <w:r w:rsidRPr="0048168E">
              <w:rPr>
                <w:rFonts w:ascii="한컴바탕" w:eastAsia="한컴바탕" w:hAnsi="한컴바탕" w:cs="한컴바탕" w:hint="eastAsia"/>
                <w:sz w:val="21"/>
                <w:szCs w:val="21"/>
              </w:rPr>
              <w:t>톤세종사증명서</w:t>
            </w:r>
            <w:proofErr w:type="spellEnd"/>
            <w:r w:rsidRPr="0048168E">
              <w:rPr>
                <w:rFonts w:ascii="한컴바탕" w:eastAsia="한컴바탕" w:hAnsi="한컴바탕" w:cs="한컴바탕" w:hint="eastAsia"/>
                <w:sz w:val="21"/>
                <w:szCs w:val="21"/>
              </w:rPr>
              <w:t xml:space="preserve"> 기한이란 </w:t>
            </w:r>
            <w:proofErr w:type="spellStart"/>
            <w:r w:rsidRPr="0048168E">
              <w:rPr>
                <w:rFonts w:ascii="한컴바탕" w:eastAsia="한컴바탕" w:hAnsi="한컴바탕" w:cs="한컴바탕" w:hint="eastAsia"/>
                <w:sz w:val="21"/>
                <w:szCs w:val="21"/>
              </w:rPr>
              <w:t>양력년</w:t>
            </w:r>
            <w:proofErr w:type="spellEnd"/>
            <w:r w:rsidRPr="0048168E">
              <w:rPr>
                <w:rFonts w:ascii="한컴바탕" w:eastAsia="한컴바탕" w:hAnsi="한컴바탕" w:cs="한컴바탕" w:hint="eastAsia"/>
                <w:sz w:val="21"/>
                <w:szCs w:val="21"/>
              </w:rPr>
              <w:t xml:space="preserve">, </w:t>
            </w:r>
            <w:proofErr w:type="spellStart"/>
            <w:r w:rsidRPr="0048168E">
              <w:rPr>
                <w:rFonts w:ascii="한컴바탕" w:eastAsia="한컴바탕" w:hAnsi="한컴바탕" w:cs="한컴바탕" w:hint="eastAsia"/>
                <w:sz w:val="21"/>
                <w:szCs w:val="21"/>
              </w:rPr>
              <w:t>양력일에</w:t>
            </w:r>
            <w:proofErr w:type="spellEnd"/>
            <w:r w:rsidRPr="0048168E">
              <w:rPr>
                <w:rFonts w:ascii="한컴바탕" w:eastAsia="한컴바탕" w:hAnsi="한컴바탕" w:cs="한컴바탕" w:hint="eastAsia"/>
                <w:sz w:val="21"/>
                <w:szCs w:val="21"/>
              </w:rPr>
              <w:t xml:space="preserve"> 따라 계산하는 기간을 말한다.</w:t>
            </w: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48168E">
              <w:rPr>
                <w:rFonts w:ascii="한컴바탕" w:eastAsia="한컴바탕" w:hAnsi="한컴바탕" w:cs="한컴바탕" w:hint="eastAsia"/>
                <w:b/>
                <w:sz w:val="21"/>
                <w:szCs w:val="21"/>
              </w:rPr>
              <w:t>제21조</w:t>
            </w:r>
            <w:r w:rsidRPr="0048168E">
              <w:rPr>
                <w:rFonts w:ascii="한컴바탕" w:eastAsia="한컴바탕" w:hAnsi="한컴바탕" w:cs="한컴바탕" w:hint="eastAsia"/>
                <w:sz w:val="21"/>
                <w:szCs w:val="21"/>
              </w:rPr>
              <w:t xml:space="preserve"> 본 조례는 2012년 1월 1일부터 시행한다. 동시에 1952년 9월 16일 정무원 재정</w:t>
            </w:r>
            <w:r w:rsidRPr="0048168E">
              <w:rPr>
                <w:rFonts w:ascii="한컴바탕" w:eastAsia="한컴바탕" w:hAnsi="한컴바탕" w:cs="한컴바탕" w:hint="eastAsia"/>
                <w:sz w:val="21"/>
                <w:szCs w:val="21"/>
              </w:rPr>
              <w:lastRenderedPageBreak/>
              <w:t xml:space="preserve">경제위원회가 비준, 1952년 9월 29일 해관총서가 발표한《중화인민공화국 </w:t>
            </w:r>
            <w:proofErr w:type="spellStart"/>
            <w:r w:rsidRPr="0048168E">
              <w:rPr>
                <w:rFonts w:ascii="한컴바탕" w:eastAsia="한컴바탕" w:hAnsi="한컴바탕" w:cs="한컴바탕" w:hint="eastAsia"/>
                <w:sz w:val="21"/>
                <w:szCs w:val="21"/>
              </w:rPr>
              <w:t>해관선박톤세</w:t>
            </w:r>
            <w:proofErr w:type="spellEnd"/>
            <w:r w:rsidRPr="0048168E">
              <w:rPr>
                <w:rFonts w:ascii="한컴바탕" w:eastAsia="한컴바탕" w:hAnsi="한컴바탕" w:cs="한컴바탕" w:hint="eastAsia"/>
                <w:sz w:val="21"/>
                <w:szCs w:val="21"/>
              </w:rPr>
              <w:t xml:space="preserve"> 잠행방법》은 폐지한다.</w:t>
            </w: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12"/>
              <w:rPr>
                <w:rFonts w:ascii="한컴바탕" w:eastAsia="한컴바탕" w:hAnsi="한컴바탕" w:cs="한컴바탕"/>
                <w:b/>
                <w:sz w:val="21"/>
                <w:szCs w:val="21"/>
              </w:rPr>
            </w:pPr>
            <w:proofErr w:type="gramStart"/>
            <w:r w:rsidRPr="0048168E">
              <w:rPr>
                <w:rFonts w:ascii="한컴바탕" w:eastAsia="한컴바탕" w:hAnsi="한컴바탕" w:cs="한컴바탕" w:hint="eastAsia"/>
                <w:b/>
                <w:sz w:val="21"/>
                <w:szCs w:val="21"/>
              </w:rPr>
              <w:t>첨부 :</w:t>
            </w:r>
            <w:proofErr w:type="gramEnd"/>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12"/>
              <w:jc w:val="center"/>
              <w:rPr>
                <w:rFonts w:ascii="한컴바탕" w:eastAsia="한컴바탕" w:hAnsi="한컴바탕" w:cs="한컴바탕"/>
                <w:b/>
                <w:sz w:val="21"/>
                <w:szCs w:val="21"/>
              </w:rPr>
            </w:pPr>
            <w:proofErr w:type="spellStart"/>
            <w:r w:rsidRPr="0048168E">
              <w:rPr>
                <w:rFonts w:ascii="한컴바탕" w:eastAsia="한컴바탕" w:hAnsi="한컴바탕" w:cs="한컴바탕" w:hint="eastAsia"/>
                <w:b/>
                <w:sz w:val="21"/>
                <w:szCs w:val="21"/>
              </w:rPr>
              <w:t>톤세</w:t>
            </w:r>
            <w:proofErr w:type="spellEnd"/>
            <w:r w:rsidRPr="0048168E">
              <w:rPr>
                <w:rFonts w:ascii="한컴바탕" w:eastAsia="한컴바탕" w:hAnsi="한컴바탕" w:cs="한컴바탕" w:hint="eastAsia"/>
                <w:b/>
                <w:sz w:val="21"/>
                <w:szCs w:val="21"/>
              </w:rPr>
              <w:t xml:space="preserve"> </w:t>
            </w:r>
            <w:proofErr w:type="spellStart"/>
            <w:r w:rsidRPr="0048168E">
              <w:rPr>
                <w:rFonts w:ascii="한컴바탕" w:eastAsia="한컴바탕" w:hAnsi="한컴바탕" w:cs="한컴바탕" w:hint="eastAsia"/>
                <w:b/>
                <w:sz w:val="21"/>
                <w:szCs w:val="21"/>
              </w:rPr>
              <w:t>세목세율표</w:t>
            </w:r>
            <w:proofErr w:type="spellEnd"/>
          </w:p>
          <w:tbl>
            <w:tblPr>
              <w:tblW w:w="4521"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1439"/>
              <w:gridCol w:w="350"/>
              <w:gridCol w:w="421"/>
              <w:gridCol w:w="420"/>
              <w:gridCol w:w="350"/>
              <w:gridCol w:w="350"/>
              <w:gridCol w:w="351"/>
              <w:gridCol w:w="840"/>
            </w:tblGrid>
            <w:tr w:rsidR="008B0A6B" w:rsidRPr="0048168E" w:rsidTr="00D50810">
              <w:trPr>
                <w:trHeight w:val="448"/>
                <w:jc w:val="center"/>
              </w:trPr>
              <w:tc>
                <w:tcPr>
                  <w:tcW w:w="143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세목</w:t>
                  </w:r>
                  <w:r w:rsidRPr="0048168E">
                    <w:rPr>
                      <w:rFonts w:ascii="한컴바탕" w:eastAsia="한컴바탕" w:hAnsi="한컴바탕" w:cs="한컴바탕"/>
                      <w:color w:val="000000"/>
                      <w:sz w:val="21"/>
                      <w:szCs w:val="21"/>
                    </w:rPr>
                    <w:br/>
                    <w:t>（</w:t>
                  </w:r>
                  <w:r w:rsidRPr="0048168E">
                    <w:rPr>
                      <w:rFonts w:ascii="한컴바탕" w:eastAsia="한컴바탕" w:hAnsi="한컴바탕" w:cs="한컴바탕" w:hint="eastAsia"/>
                      <w:color w:val="000000"/>
                      <w:sz w:val="21"/>
                      <w:szCs w:val="21"/>
                    </w:rPr>
                    <w:t xml:space="preserve">선박 </w:t>
                  </w:r>
                  <w:proofErr w:type="spellStart"/>
                  <w:r w:rsidRPr="0048168E">
                    <w:rPr>
                      <w:rFonts w:ascii="한컴바탕" w:eastAsia="한컴바탕" w:hAnsi="한컴바탕" w:cs="한컴바탕" w:hint="eastAsia"/>
                      <w:color w:val="000000"/>
                      <w:sz w:val="21"/>
                      <w:szCs w:val="21"/>
                    </w:rPr>
                    <w:t>순톤수에</w:t>
                  </w:r>
                  <w:proofErr w:type="spellEnd"/>
                  <w:r w:rsidRPr="0048168E">
                    <w:rPr>
                      <w:rFonts w:ascii="한컴바탕" w:eastAsia="한컴바탕" w:hAnsi="한컴바탕" w:cs="한컴바탕" w:hint="eastAsia"/>
                      <w:color w:val="000000"/>
                      <w:sz w:val="21"/>
                      <w:szCs w:val="21"/>
                    </w:rPr>
                    <w:t xml:space="preserve"> 따라 구분</w:t>
                  </w:r>
                  <w:r w:rsidRPr="0048168E">
                    <w:rPr>
                      <w:rFonts w:ascii="한컴바탕" w:eastAsia="한컴바탕" w:hAnsi="한컴바탕" w:cs="한컴바탕"/>
                      <w:color w:val="000000"/>
                      <w:sz w:val="21"/>
                      <w:szCs w:val="21"/>
                    </w:rPr>
                    <w:t>）</w:t>
                  </w:r>
                </w:p>
              </w:tc>
              <w:tc>
                <w:tcPr>
                  <w:tcW w:w="2242"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세율 (위안/NT)</w:t>
                  </w:r>
                </w:p>
              </w:tc>
              <w:tc>
                <w:tcPr>
                  <w:tcW w:w="84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비 고</w:t>
                  </w:r>
                </w:p>
              </w:tc>
            </w:tr>
            <w:tr w:rsidR="008B0A6B" w:rsidRPr="0048168E" w:rsidTr="00D50810">
              <w:trPr>
                <w:trHeight w:val="139"/>
                <w:jc w:val="center"/>
              </w:trPr>
              <w:tc>
                <w:tcPr>
                  <w:tcW w:w="1439"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c>
                <w:tcPr>
                  <w:tcW w:w="1191"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보통세율</w:t>
                  </w:r>
                  <w:r w:rsidRPr="0048168E">
                    <w:rPr>
                      <w:rFonts w:ascii="한컴바탕" w:eastAsia="한컴바탕" w:hAnsi="한컴바탕" w:cs="한컴바탕"/>
                      <w:color w:val="000000"/>
                      <w:sz w:val="21"/>
                      <w:szCs w:val="21"/>
                    </w:rPr>
                    <w:br/>
                    <w:t xml:space="preserve">　（</w:t>
                  </w:r>
                  <w:proofErr w:type="spellStart"/>
                  <w:r w:rsidRPr="0048168E">
                    <w:rPr>
                      <w:rFonts w:ascii="한컴바탕" w:eastAsia="한컴바탕" w:hAnsi="한컴바탕" w:cs="한컴바탕" w:hint="eastAsia"/>
                      <w:color w:val="000000"/>
                      <w:sz w:val="21"/>
                      <w:szCs w:val="21"/>
                    </w:rPr>
                    <w:t>톤세집조</w:t>
                  </w:r>
                  <w:proofErr w:type="spellEnd"/>
                  <w:r w:rsidRPr="0048168E">
                    <w:rPr>
                      <w:rFonts w:ascii="한컴바탕" w:eastAsia="한컴바탕" w:hAnsi="한컴바탕" w:cs="한컴바탕" w:hint="eastAsia"/>
                      <w:color w:val="000000"/>
                      <w:sz w:val="21"/>
                      <w:szCs w:val="21"/>
                    </w:rPr>
                    <w:t xml:space="preserve"> 기한에 따라 구분</w:t>
                  </w:r>
                  <w:r w:rsidRPr="0048168E">
                    <w:rPr>
                      <w:rFonts w:ascii="한컴바탕" w:eastAsia="한컴바탕" w:hAnsi="한컴바탕" w:cs="한컴바탕"/>
                      <w:color w:val="000000"/>
                      <w:sz w:val="21"/>
                      <w:szCs w:val="21"/>
                    </w:rPr>
                    <w:t>）</w:t>
                  </w:r>
                </w:p>
              </w:tc>
              <w:tc>
                <w:tcPr>
                  <w:tcW w:w="1051"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우대세율</w:t>
                  </w:r>
                  <w:r w:rsidRPr="0048168E">
                    <w:rPr>
                      <w:rFonts w:ascii="한컴바탕" w:eastAsia="한컴바탕" w:hAnsi="한컴바탕" w:cs="한컴바탕"/>
                      <w:color w:val="000000"/>
                      <w:sz w:val="21"/>
                      <w:szCs w:val="21"/>
                    </w:rPr>
                    <w:br/>
                    <w:t>（</w:t>
                  </w:r>
                  <w:proofErr w:type="spellStart"/>
                  <w:r w:rsidRPr="0048168E">
                    <w:rPr>
                      <w:rFonts w:ascii="한컴바탕" w:eastAsia="한컴바탕" w:hAnsi="한컴바탕" w:cs="한컴바탕" w:hint="eastAsia"/>
                      <w:color w:val="000000"/>
                      <w:sz w:val="21"/>
                      <w:szCs w:val="21"/>
                    </w:rPr>
                    <w:t>톤세집조</w:t>
                  </w:r>
                  <w:proofErr w:type="spellEnd"/>
                  <w:r w:rsidRPr="0048168E">
                    <w:rPr>
                      <w:rFonts w:ascii="한컴바탕" w:eastAsia="한컴바탕" w:hAnsi="한컴바탕" w:cs="한컴바탕" w:hint="eastAsia"/>
                      <w:color w:val="000000"/>
                      <w:sz w:val="21"/>
                      <w:szCs w:val="21"/>
                    </w:rPr>
                    <w:t xml:space="preserve"> 기한에 따라 구분</w:t>
                  </w:r>
                  <w:r w:rsidRPr="0048168E">
                    <w:rPr>
                      <w:rFonts w:ascii="한컴바탕" w:eastAsia="한컴바탕" w:hAnsi="한컴바탕" w:cs="한컴바탕"/>
                      <w:color w:val="000000"/>
                      <w:sz w:val="21"/>
                      <w:szCs w:val="21"/>
                    </w:rPr>
                    <w:t>）</w:t>
                  </w:r>
                </w:p>
              </w:tc>
              <w:tc>
                <w:tcPr>
                  <w:tcW w:w="840"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r>
            <w:tr w:rsidR="008B0A6B" w:rsidRPr="0048168E" w:rsidTr="002B1B5E">
              <w:trPr>
                <w:trHeight w:val="1113"/>
                <w:jc w:val="center"/>
              </w:trPr>
              <w:tc>
                <w:tcPr>
                  <w:tcW w:w="1439"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w:t>
                  </w:r>
                  <w:r w:rsidRPr="0048168E">
                    <w:rPr>
                      <w:rFonts w:ascii="한컴바탕" w:eastAsia="한컴바탕" w:hAnsi="한컴바탕" w:cs="한컴바탕" w:hint="eastAsia"/>
                      <w:color w:val="000000"/>
                      <w:sz w:val="21"/>
                      <w:szCs w:val="21"/>
                    </w:rPr>
                    <w:t>년</w:t>
                  </w:r>
                </w:p>
              </w:tc>
              <w:tc>
                <w:tcPr>
                  <w:tcW w:w="4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90</w:t>
                  </w:r>
                  <w:r w:rsidRPr="0048168E">
                    <w:rPr>
                      <w:rFonts w:ascii="한컴바탕" w:eastAsia="한컴바탕" w:hAnsi="한컴바탕" w:cs="한컴바탕" w:hint="eastAsia"/>
                      <w:color w:val="000000"/>
                      <w:sz w:val="21"/>
                      <w:szCs w:val="21"/>
                    </w:rPr>
                    <w:t>일</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30</w:t>
                  </w:r>
                  <w:r w:rsidRPr="0048168E">
                    <w:rPr>
                      <w:rFonts w:ascii="한컴바탕" w:eastAsia="한컴바탕" w:hAnsi="한컴바탕" w:cs="한컴바탕" w:hint="eastAsia"/>
                      <w:color w:val="000000"/>
                      <w:sz w:val="21"/>
                      <w:szCs w:val="21"/>
                    </w:rPr>
                    <w:t>일</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w:t>
                  </w:r>
                  <w:r w:rsidRPr="0048168E">
                    <w:rPr>
                      <w:rFonts w:ascii="한컴바탕" w:eastAsia="한컴바탕" w:hAnsi="한컴바탕" w:cs="한컴바탕" w:hint="eastAsia"/>
                      <w:color w:val="000000"/>
                      <w:sz w:val="21"/>
                      <w:szCs w:val="21"/>
                    </w:rPr>
                    <w:t>년</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90</w:t>
                  </w:r>
                  <w:r w:rsidRPr="0048168E">
                    <w:rPr>
                      <w:rFonts w:ascii="한컴바탕" w:eastAsia="한컴바탕" w:hAnsi="한컴바탕" w:cs="한컴바탕" w:hint="eastAsia"/>
                      <w:color w:val="000000"/>
                      <w:sz w:val="21"/>
                      <w:szCs w:val="21"/>
                    </w:rPr>
                    <w:t>일</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30</w:t>
                  </w:r>
                  <w:r w:rsidRPr="0048168E">
                    <w:rPr>
                      <w:rFonts w:ascii="한컴바탕" w:eastAsia="한컴바탕" w:hAnsi="한컴바탕" w:cs="한컴바탕" w:hint="eastAsia"/>
                      <w:color w:val="000000"/>
                      <w:sz w:val="21"/>
                      <w:szCs w:val="21"/>
                    </w:rPr>
                    <w:t>일</w:t>
                  </w:r>
                </w:p>
              </w:tc>
              <w:tc>
                <w:tcPr>
                  <w:tcW w:w="840"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r>
            <w:tr w:rsidR="008B0A6B" w:rsidRPr="0048168E" w:rsidTr="002B1B5E">
              <w:trPr>
                <w:trHeight w:val="1145"/>
                <w:jc w:val="center"/>
              </w:trPr>
              <w:tc>
                <w:tcPr>
                  <w:tcW w:w="143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2,000NT 이하</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12.6</w:t>
                  </w:r>
                </w:p>
              </w:tc>
              <w:tc>
                <w:tcPr>
                  <w:tcW w:w="4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4.2</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2.1</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9.0</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3.0</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1.5</w:t>
                  </w:r>
                </w:p>
              </w:tc>
              <w:tc>
                <w:tcPr>
                  <w:tcW w:w="84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 xml:space="preserve">예인선과 </w:t>
                  </w:r>
                  <w:proofErr w:type="spellStart"/>
                  <w:r w:rsidRPr="0048168E">
                    <w:rPr>
                      <w:rFonts w:ascii="한컴바탕" w:eastAsia="한컴바탕" w:hAnsi="한컴바탕" w:cs="한컴바탕" w:hint="eastAsia"/>
                      <w:color w:val="000000"/>
                      <w:sz w:val="21"/>
                      <w:szCs w:val="21"/>
                    </w:rPr>
                    <w:t>비기동</w:t>
                  </w:r>
                  <w:proofErr w:type="spellEnd"/>
                  <w:r w:rsidRPr="0048168E">
                    <w:rPr>
                      <w:rFonts w:ascii="한컴바탕" w:eastAsia="한컴바탕" w:hAnsi="한컴바탕" w:cs="한컴바탕" w:hint="eastAsia"/>
                      <w:color w:val="000000"/>
                      <w:sz w:val="21"/>
                      <w:szCs w:val="21"/>
                    </w:rPr>
                    <w:t xml:space="preserve"> 바지선은 각각 동일한 </w:t>
                  </w:r>
                  <w:proofErr w:type="spellStart"/>
                  <w:r w:rsidRPr="0048168E">
                    <w:rPr>
                      <w:rFonts w:ascii="한컴바탕" w:eastAsia="한컴바탕" w:hAnsi="한컴바탕" w:cs="한컴바탕" w:hint="eastAsia"/>
                      <w:color w:val="000000"/>
                      <w:sz w:val="21"/>
                      <w:szCs w:val="21"/>
                    </w:rPr>
                    <w:t>순톤수</w:t>
                  </w:r>
                  <w:proofErr w:type="spellEnd"/>
                  <w:r w:rsidRPr="0048168E">
                    <w:rPr>
                      <w:rFonts w:ascii="한컴바탕" w:eastAsia="한컴바탕" w:hAnsi="한컴바탕" w:cs="한컴바탕" w:hint="eastAsia"/>
                      <w:color w:val="000000"/>
                      <w:sz w:val="21"/>
                      <w:szCs w:val="21"/>
                    </w:rPr>
                    <w:t xml:space="preserve"> 선박세율의 50%에 따라 과세</w:t>
                  </w:r>
                </w:p>
              </w:tc>
            </w:tr>
            <w:tr w:rsidR="008B0A6B" w:rsidRPr="0048168E" w:rsidTr="002B1B5E">
              <w:trPr>
                <w:trHeight w:val="1419"/>
                <w:jc w:val="center"/>
              </w:trPr>
              <w:tc>
                <w:tcPr>
                  <w:tcW w:w="143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2,000NT이상, 10,000NT이하</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24.0</w:t>
                  </w:r>
                </w:p>
              </w:tc>
              <w:tc>
                <w:tcPr>
                  <w:tcW w:w="4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8.0</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4.0</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17.4</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5.8</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2.9</w:t>
                  </w:r>
                </w:p>
              </w:tc>
              <w:tc>
                <w:tcPr>
                  <w:tcW w:w="840"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r>
            <w:tr w:rsidR="008B0A6B" w:rsidRPr="0048168E" w:rsidTr="002B1B5E">
              <w:trPr>
                <w:trHeight w:val="1710"/>
                <w:jc w:val="center"/>
              </w:trPr>
              <w:tc>
                <w:tcPr>
                  <w:tcW w:w="143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10,000NT이상, 50,000NT이하</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27.6</w:t>
                  </w:r>
                </w:p>
              </w:tc>
              <w:tc>
                <w:tcPr>
                  <w:tcW w:w="4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9.2</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4.6</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19.8</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6.6</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3.3</w:t>
                  </w:r>
                </w:p>
              </w:tc>
              <w:tc>
                <w:tcPr>
                  <w:tcW w:w="840"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r>
            <w:tr w:rsidR="008B0A6B" w:rsidRPr="0048168E" w:rsidTr="002B1B5E">
              <w:trPr>
                <w:trHeight w:val="1141"/>
                <w:jc w:val="center"/>
              </w:trPr>
              <w:tc>
                <w:tcPr>
                  <w:tcW w:w="143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color w:val="000000"/>
                      <w:sz w:val="21"/>
                      <w:szCs w:val="21"/>
                    </w:rPr>
                  </w:pPr>
                  <w:r w:rsidRPr="0048168E">
                    <w:rPr>
                      <w:rFonts w:ascii="한컴바탕" w:eastAsia="한컴바탕" w:hAnsi="한컴바탕" w:cs="한컴바탕" w:hint="eastAsia"/>
                      <w:color w:val="000000"/>
                      <w:sz w:val="21"/>
                      <w:szCs w:val="21"/>
                    </w:rPr>
                    <w:t>50,000NT 이상</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31.8</w:t>
                  </w:r>
                </w:p>
              </w:tc>
              <w:tc>
                <w:tcPr>
                  <w:tcW w:w="4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10.6</w:t>
                  </w:r>
                </w:p>
              </w:tc>
              <w:tc>
                <w:tcPr>
                  <w:tcW w:w="4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5.3</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22.8</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7.6</w:t>
                  </w:r>
                </w:p>
              </w:tc>
              <w:tc>
                <w:tcPr>
                  <w:tcW w:w="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r w:rsidRPr="0048168E">
                    <w:rPr>
                      <w:rFonts w:ascii="한컴바탕" w:eastAsia="한컴바탕" w:hAnsi="한컴바탕" w:cs="한컴바탕"/>
                      <w:color w:val="000000"/>
                      <w:sz w:val="21"/>
                      <w:szCs w:val="21"/>
                    </w:rPr>
                    <w:t>3.8</w:t>
                  </w:r>
                </w:p>
              </w:tc>
              <w:tc>
                <w:tcPr>
                  <w:tcW w:w="840"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B0A6B" w:rsidRPr="0048168E" w:rsidRDefault="008B0A6B" w:rsidP="0048168E">
                  <w:pPr>
                    <w:topLinePunct/>
                    <w:autoSpaceDE/>
                    <w:adjustRightInd w:val="0"/>
                    <w:snapToGrid w:val="0"/>
                    <w:spacing w:line="290" w:lineRule="atLeast"/>
                    <w:ind w:firstLineChars="200" w:firstLine="420"/>
                    <w:jc w:val="center"/>
                    <w:rPr>
                      <w:rFonts w:ascii="한컴바탕" w:eastAsia="한컴바탕" w:hAnsi="한컴바탕" w:cs="한컴바탕"/>
                      <w:color w:val="000000"/>
                      <w:sz w:val="21"/>
                      <w:szCs w:val="21"/>
                    </w:rPr>
                  </w:pPr>
                </w:p>
              </w:tc>
            </w:tr>
          </w:tbl>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8B0A6B" w:rsidRPr="0048168E" w:rsidRDefault="008B0A6B" w:rsidP="0048168E">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B6703E" w:rsidRPr="0048168E" w:rsidRDefault="00B6703E" w:rsidP="0048168E">
            <w:pPr>
              <w:snapToGrid w:val="0"/>
              <w:spacing w:line="290" w:lineRule="atLeast"/>
              <w:rPr>
                <w:rFonts w:ascii="한컴바탕" w:eastAsia="한컴바탕" w:hAnsi="한컴바탕" w:cs="한컴바탕"/>
                <w:sz w:val="21"/>
                <w:szCs w:val="21"/>
              </w:rPr>
            </w:pPr>
          </w:p>
        </w:tc>
        <w:tc>
          <w:tcPr>
            <w:tcW w:w="539" w:type="dxa"/>
          </w:tcPr>
          <w:p w:rsidR="00B6703E" w:rsidRPr="003E3F1A" w:rsidRDefault="00B6703E" w:rsidP="003E3F1A">
            <w:pPr>
              <w:wordWrap/>
              <w:snapToGrid w:val="0"/>
              <w:spacing w:line="290" w:lineRule="atLeast"/>
              <w:rPr>
                <w:sz w:val="21"/>
                <w:szCs w:val="21"/>
              </w:rPr>
            </w:pPr>
          </w:p>
        </w:tc>
        <w:tc>
          <w:tcPr>
            <w:tcW w:w="3958" w:type="dxa"/>
          </w:tcPr>
          <w:p w:rsidR="00BB6417" w:rsidRDefault="00426CC0" w:rsidP="003E3F1A">
            <w:pPr>
              <w:wordWrap/>
              <w:snapToGrid w:val="0"/>
              <w:spacing w:line="290" w:lineRule="atLeast"/>
              <w:jc w:val="center"/>
              <w:rPr>
                <w:rFonts w:ascii="SimSun" w:eastAsiaTheme="minorEastAsia" w:hAnsi="SimSun" w:hint="eastAsia"/>
                <w:b/>
                <w:sz w:val="26"/>
                <w:szCs w:val="26"/>
                <w:lang w:eastAsia="zh-CN"/>
              </w:rPr>
            </w:pPr>
            <w:r w:rsidRPr="00BB6417">
              <w:rPr>
                <w:rFonts w:ascii="SimSun" w:eastAsia="SimSun" w:hAnsi="SimSun" w:hint="eastAsia"/>
                <w:b/>
                <w:sz w:val="26"/>
                <w:szCs w:val="26"/>
                <w:lang w:eastAsia="zh-CN"/>
              </w:rPr>
              <w:t>中华人民共和国船舶吨税</w:t>
            </w:r>
            <w:r w:rsidR="00BB6417">
              <w:rPr>
                <w:rFonts w:ascii="SimSun" w:eastAsiaTheme="minorEastAsia" w:hAnsi="SimSun" w:hint="eastAsia"/>
                <w:b/>
                <w:sz w:val="26"/>
                <w:szCs w:val="26"/>
                <w:lang w:eastAsia="zh-CN"/>
              </w:rPr>
              <w:t xml:space="preserve"> </w:t>
            </w:r>
          </w:p>
          <w:p w:rsidR="00426CC0" w:rsidRPr="00BB6417" w:rsidRDefault="00426CC0" w:rsidP="003E3F1A">
            <w:pPr>
              <w:wordWrap/>
              <w:snapToGrid w:val="0"/>
              <w:spacing w:line="290" w:lineRule="atLeast"/>
              <w:jc w:val="center"/>
              <w:rPr>
                <w:rFonts w:ascii="SimSun" w:eastAsia="SimSun" w:hAnsi="SimSun"/>
                <w:b/>
                <w:sz w:val="26"/>
                <w:szCs w:val="26"/>
                <w:lang w:eastAsia="zh-CN"/>
              </w:rPr>
            </w:pPr>
            <w:r w:rsidRPr="00BB6417">
              <w:rPr>
                <w:rFonts w:ascii="SimSun" w:eastAsia="SimSun" w:hAnsi="SimSun" w:hint="eastAsia"/>
                <w:b/>
                <w:sz w:val="26"/>
                <w:szCs w:val="26"/>
                <w:lang w:eastAsia="zh-CN"/>
              </w:rPr>
              <w:t>暂行条例</w:t>
            </w:r>
          </w:p>
          <w:p w:rsidR="00426CC0" w:rsidRPr="0048168E" w:rsidRDefault="00426CC0" w:rsidP="003E3F1A">
            <w:pPr>
              <w:wordWrap/>
              <w:snapToGrid w:val="0"/>
              <w:spacing w:line="290" w:lineRule="atLeast"/>
              <w:jc w:val="center"/>
              <w:rPr>
                <w:rFonts w:ascii="SimSun" w:eastAsia="SimSun" w:hAnsi="SimSun"/>
                <w:sz w:val="21"/>
                <w:szCs w:val="21"/>
                <w:lang w:eastAsia="zh-CN"/>
              </w:rPr>
            </w:pPr>
            <w:r w:rsidRPr="0048168E">
              <w:rPr>
                <w:rFonts w:ascii="SimSun" w:eastAsia="SimSun" w:hAnsi="SimSun" w:hint="eastAsia"/>
                <w:sz w:val="21"/>
                <w:szCs w:val="21"/>
                <w:lang w:eastAsia="zh-CN"/>
              </w:rPr>
              <w:t>国务院令第610号</w:t>
            </w:r>
          </w:p>
          <w:p w:rsidR="00426CC0" w:rsidRPr="0048168E" w:rsidRDefault="00426CC0" w:rsidP="003E3F1A">
            <w:pPr>
              <w:wordWrap/>
              <w:snapToGrid w:val="0"/>
              <w:spacing w:line="290" w:lineRule="atLeast"/>
              <w:rPr>
                <w:rFonts w:ascii="SimSun" w:eastAsia="SimSun" w:hAnsi="SimSun"/>
                <w:sz w:val="21"/>
                <w:szCs w:val="21"/>
                <w:lang w:eastAsia="zh-CN"/>
              </w:rPr>
            </w:pPr>
          </w:p>
          <w:p w:rsidR="00426CC0" w:rsidRPr="0048168E" w:rsidRDefault="00426CC0" w:rsidP="003E3F1A">
            <w:pPr>
              <w:wordWrap/>
              <w:snapToGrid w:val="0"/>
              <w:spacing w:line="290" w:lineRule="atLeast"/>
              <w:rPr>
                <w:rFonts w:ascii="SimSun" w:eastAsia="SimSun" w:hAnsi="SimSun"/>
                <w:sz w:val="21"/>
                <w:szCs w:val="21"/>
                <w:lang w:eastAsia="zh-CN"/>
              </w:rPr>
            </w:pP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《中华人民共和国船舶吨税暂行条例》已经2011年11月23日国务院第182次常务会议通过，现予公布，自2012年1月1日起施行。</w:t>
            </w:r>
          </w:p>
          <w:p w:rsidR="00426CC0" w:rsidRPr="0048168E" w:rsidRDefault="00426CC0" w:rsidP="00D05134">
            <w:pPr>
              <w:wordWrap/>
              <w:snapToGrid w:val="0"/>
              <w:spacing w:line="290" w:lineRule="atLeast"/>
              <w:jc w:val="right"/>
              <w:rPr>
                <w:rFonts w:ascii="SimSun" w:eastAsia="SimSun" w:hAnsi="SimSun"/>
                <w:sz w:val="21"/>
                <w:szCs w:val="21"/>
                <w:lang w:eastAsia="zh-CN"/>
              </w:rPr>
            </w:pPr>
            <w:r w:rsidRPr="0048168E">
              <w:rPr>
                <w:rFonts w:ascii="SimSun" w:eastAsia="SimSun" w:hAnsi="SimSun" w:hint="eastAsia"/>
                <w:sz w:val="21"/>
                <w:szCs w:val="21"/>
                <w:lang w:eastAsia="zh-CN"/>
              </w:rPr>
              <w:t xml:space="preserve">　　　　　　　　　　　　　　　　　　　　　　　 　        总理　 温家宝　　　　　　　　　　　　　　　　　　　　　　 　二○一一年十二月五日</w:t>
            </w:r>
          </w:p>
          <w:p w:rsidR="00426CC0" w:rsidRPr="0048168E" w:rsidRDefault="00426CC0" w:rsidP="003E3F1A">
            <w:pPr>
              <w:wordWrap/>
              <w:snapToGrid w:val="0"/>
              <w:spacing w:line="290" w:lineRule="atLeast"/>
              <w:rPr>
                <w:rFonts w:ascii="SimSun" w:eastAsia="SimSun" w:hAnsi="SimSun"/>
                <w:sz w:val="21"/>
                <w:szCs w:val="21"/>
                <w:lang w:eastAsia="zh-CN"/>
              </w:rPr>
            </w:pPr>
          </w:p>
          <w:p w:rsidR="00426CC0" w:rsidRPr="0048168E" w:rsidRDefault="00426CC0" w:rsidP="003E3F1A">
            <w:pPr>
              <w:wordWrap/>
              <w:snapToGrid w:val="0"/>
              <w:spacing w:line="290" w:lineRule="atLeast"/>
              <w:rPr>
                <w:rFonts w:ascii="SimSun" w:eastAsia="SimSun" w:hAnsi="SimSun"/>
                <w:sz w:val="21"/>
                <w:szCs w:val="21"/>
                <w:lang w:eastAsia="zh-CN"/>
              </w:rPr>
            </w:pP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第一条</w:t>
            </w:r>
            <w:r w:rsidRPr="0048168E">
              <w:rPr>
                <w:rFonts w:ascii="SimSun" w:eastAsia="SimSun" w:hAnsi="SimSun" w:hint="eastAsia"/>
                <w:sz w:val="21"/>
                <w:szCs w:val="21"/>
                <w:lang w:eastAsia="zh-CN"/>
              </w:rPr>
              <w:t xml:space="preserve">　自中华人民共和国境外港口进入境内港口的船舶（以下称应税船舶），应当依照本条例缴纳船舶吨税（以下简称吨税）。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第二条</w:t>
            </w:r>
            <w:r w:rsidRPr="0048168E">
              <w:rPr>
                <w:rFonts w:ascii="SimSun" w:eastAsia="SimSun" w:hAnsi="SimSun" w:hint="eastAsia"/>
                <w:sz w:val="21"/>
                <w:szCs w:val="21"/>
                <w:lang w:eastAsia="zh-CN"/>
              </w:rPr>
              <w:t xml:space="preserve">　吨税的税目、税率依照本条例所附的《吨税税目税率表》执行。</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《吨税税目税率表》的调整，由国务院决定。</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第三条</w:t>
            </w:r>
            <w:r w:rsidRPr="0048168E">
              <w:rPr>
                <w:rFonts w:ascii="SimSun" w:eastAsia="SimSun" w:hAnsi="SimSun" w:hint="eastAsia"/>
                <w:sz w:val="21"/>
                <w:szCs w:val="21"/>
                <w:lang w:eastAsia="zh-CN"/>
              </w:rPr>
              <w:t xml:space="preserve">　吨税设置优惠税率和普通税率。</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中华人民共和国籍的应税船舶，船籍国（地区）与中华人民共和国签订含有相互给予船舶税费最惠国待遇条款的条约或者协定的应税船舶，适用优惠税率。</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其他应税船舶，适用普通税率。</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第四条</w:t>
            </w:r>
            <w:r w:rsidRPr="0048168E">
              <w:rPr>
                <w:rFonts w:ascii="SimSun" w:eastAsia="SimSun" w:hAnsi="SimSun" w:hint="eastAsia"/>
                <w:sz w:val="21"/>
                <w:szCs w:val="21"/>
                <w:lang w:eastAsia="zh-CN"/>
              </w:rPr>
              <w:t xml:space="preserve">　吨税按照船舶净吨位和吨税执照期限征收。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应税船舶负责人在每次申报纳税时，可以按照《吨税税目税率表》选择申领一种期限的吨税执照。</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第五条</w:t>
            </w:r>
            <w:r w:rsidRPr="0048168E">
              <w:rPr>
                <w:rFonts w:ascii="SimSun" w:eastAsia="SimSun" w:hAnsi="SimSun" w:hint="eastAsia"/>
                <w:sz w:val="21"/>
                <w:szCs w:val="21"/>
                <w:lang w:eastAsia="zh-CN"/>
              </w:rPr>
              <w:t xml:space="preserve">　吨税的应纳税额按照船舶净吨位乘以适用税率计算。</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第六条</w:t>
            </w:r>
            <w:r w:rsidRPr="0048168E">
              <w:rPr>
                <w:rFonts w:ascii="SimSun" w:eastAsia="SimSun" w:hAnsi="SimSun" w:hint="eastAsia"/>
                <w:sz w:val="21"/>
                <w:szCs w:val="21"/>
                <w:lang w:eastAsia="zh-CN"/>
              </w:rPr>
              <w:t xml:space="preserve">　吨税由海关负责征收。海关征收吨税应当制发缴款凭证。</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应税船舶负责人缴纳吨税或者提供担保后，海关按照其申领的执照期限填发吨税执照。</w:t>
            </w:r>
          </w:p>
          <w:p w:rsidR="00920BFB" w:rsidRDefault="00426CC0" w:rsidP="00920BFB">
            <w:pPr>
              <w:wordWrap/>
              <w:snapToGrid w:val="0"/>
              <w:spacing w:line="290" w:lineRule="atLeast"/>
              <w:ind w:firstLine="375"/>
              <w:rPr>
                <w:rFonts w:ascii="SimSun" w:eastAsiaTheme="minorEastAsia" w:hAnsi="SimSun" w:hint="eastAsia"/>
                <w:spacing w:val="-8"/>
                <w:sz w:val="21"/>
                <w:szCs w:val="21"/>
              </w:rPr>
            </w:pPr>
            <w:r w:rsidRPr="007758FA">
              <w:rPr>
                <w:rFonts w:ascii="SimSun" w:eastAsia="SimSun" w:hAnsi="SimSun" w:hint="eastAsia"/>
                <w:b/>
                <w:spacing w:val="-8"/>
                <w:sz w:val="21"/>
                <w:szCs w:val="21"/>
                <w:lang w:eastAsia="zh-CN"/>
              </w:rPr>
              <w:t>第七条</w:t>
            </w:r>
            <w:r w:rsidRPr="007758FA">
              <w:rPr>
                <w:rFonts w:ascii="SimSun" w:eastAsia="SimSun" w:hAnsi="SimSun" w:hint="eastAsia"/>
                <w:spacing w:val="-8"/>
                <w:sz w:val="21"/>
                <w:szCs w:val="21"/>
                <w:lang w:eastAsia="zh-CN"/>
              </w:rPr>
              <w:t xml:space="preserve">　应税船舶在进入港口办理入境手续时，应当向海关申报纳税领取吨税执照，或者交验吨税执照。应税船舶在离开港</w:t>
            </w:r>
          </w:p>
          <w:p w:rsidR="00920BFB" w:rsidRDefault="00920BFB" w:rsidP="00920BFB">
            <w:pPr>
              <w:wordWrap/>
              <w:snapToGrid w:val="0"/>
              <w:spacing w:line="290" w:lineRule="atLeast"/>
              <w:ind w:firstLine="375"/>
              <w:rPr>
                <w:rFonts w:ascii="SimSun" w:eastAsiaTheme="minorEastAsia" w:hAnsi="SimSun" w:hint="eastAsia"/>
                <w:spacing w:val="-8"/>
                <w:sz w:val="21"/>
                <w:szCs w:val="21"/>
              </w:rPr>
            </w:pPr>
          </w:p>
          <w:p w:rsidR="00426CC0" w:rsidRPr="007758FA" w:rsidRDefault="00426CC0" w:rsidP="00920BFB">
            <w:pPr>
              <w:wordWrap/>
              <w:snapToGrid w:val="0"/>
              <w:spacing w:line="290" w:lineRule="atLeast"/>
              <w:rPr>
                <w:rFonts w:ascii="SimSun" w:eastAsia="SimSun" w:hAnsi="SimSun"/>
                <w:spacing w:val="-8"/>
                <w:sz w:val="21"/>
                <w:szCs w:val="21"/>
                <w:lang w:eastAsia="zh-CN"/>
              </w:rPr>
            </w:pPr>
            <w:r w:rsidRPr="007758FA">
              <w:rPr>
                <w:rFonts w:ascii="SimSun" w:eastAsia="SimSun" w:hAnsi="SimSun" w:hint="eastAsia"/>
                <w:spacing w:val="-8"/>
                <w:sz w:val="21"/>
                <w:szCs w:val="21"/>
                <w:lang w:eastAsia="zh-CN"/>
              </w:rPr>
              <w:lastRenderedPageBreak/>
              <w:t>口办理出境手续时，应当交验吨税执照。</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应税船舶负责人申领吨税执照时，应当向海关提供下列文件：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（一）船舶国籍证书或者海事部门签发的船舶国籍证书收存证明；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（二）船舶吨位证明。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第八条</w:t>
            </w:r>
            <w:r w:rsidRPr="0048168E">
              <w:rPr>
                <w:rFonts w:ascii="SimSun" w:eastAsia="SimSun" w:hAnsi="SimSun" w:hint="eastAsia"/>
                <w:sz w:val="21"/>
                <w:szCs w:val="21"/>
                <w:lang w:eastAsia="zh-CN"/>
              </w:rPr>
              <w:t xml:space="preserve">　吨税纳税义务发生时间为应税船舶进入港口的当日。</w:t>
            </w:r>
          </w:p>
          <w:p w:rsidR="00426CC0" w:rsidRPr="007758FA" w:rsidRDefault="00426CC0" w:rsidP="003E3F1A">
            <w:pPr>
              <w:wordWrap/>
              <w:snapToGrid w:val="0"/>
              <w:spacing w:line="290" w:lineRule="atLeast"/>
              <w:rPr>
                <w:rFonts w:ascii="SimSun" w:eastAsia="SimSun" w:hAnsi="SimSun"/>
                <w:spacing w:val="6"/>
                <w:sz w:val="21"/>
                <w:szCs w:val="21"/>
                <w:lang w:eastAsia="zh-CN"/>
              </w:rPr>
            </w:pPr>
            <w:r w:rsidRPr="0048168E">
              <w:rPr>
                <w:rFonts w:ascii="SimSun" w:eastAsia="SimSun" w:hAnsi="SimSun" w:hint="eastAsia"/>
                <w:sz w:val="21"/>
                <w:szCs w:val="21"/>
                <w:lang w:eastAsia="zh-CN"/>
              </w:rPr>
              <w:t xml:space="preserve">　　</w:t>
            </w:r>
            <w:r w:rsidRPr="007758FA">
              <w:rPr>
                <w:rFonts w:ascii="SimSun" w:eastAsia="SimSun" w:hAnsi="SimSun" w:hint="eastAsia"/>
                <w:spacing w:val="6"/>
                <w:sz w:val="21"/>
                <w:szCs w:val="21"/>
                <w:lang w:eastAsia="zh-CN"/>
              </w:rPr>
              <w:t>应税船舶在吨税执照期满后尚未离开港口的，应当申领新的吨税执照，自上一次执照期满的次日起续缴吨税。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第九条</w:t>
            </w:r>
            <w:r w:rsidRPr="0048168E">
              <w:rPr>
                <w:rFonts w:ascii="SimSun" w:eastAsia="SimSun" w:hAnsi="SimSun" w:hint="eastAsia"/>
                <w:sz w:val="21"/>
                <w:szCs w:val="21"/>
                <w:lang w:eastAsia="zh-CN"/>
              </w:rPr>
              <w:t xml:space="preserve">　下列船舶免征吨税：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（一）应纳税额在人民币50元以下的船舶；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（二）自境外以购买、受赠、继承等方式取得船舶所有权的初次进口到港的空载船舶；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（三）吨税执照期满后24小时内不上下客货的船舶；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（四）非机动船舶（不包括非机动驳船）；</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（五）捕捞、养殖渔船；</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（六）避难、防疫隔离、修理、终止运营或者拆解，并不上下客货的船舶；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（七）军队、武装警察部队专用或者征用的船舶；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（八）依照法律规定应当予以免税的外国驻华使领馆、国际组织驻华代表机构及其有关人员的船舶；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（九）国务院规定的其他船舶。</w:t>
            </w:r>
          </w:p>
          <w:p w:rsidR="00426CC0" w:rsidRPr="007758FA" w:rsidRDefault="00426CC0" w:rsidP="003E3F1A">
            <w:pPr>
              <w:wordWrap/>
              <w:snapToGrid w:val="0"/>
              <w:spacing w:line="290" w:lineRule="atLeast"/>
              <w:rPr>
                <w:rFonts w:ascii="SimSun" w:eastAsia="SimSun" w:hAnsi="SimSun"/>
                <w:spacing w:val="6"/>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 xml:space="preserve">　</w:t>
            </w:r>
            <w:r w:rsidRPr="007758FA">
              <w:rPr>
                <w:rFonts w:ascii="SimSun" w:eastAsia="SimSun" w:hAnsi="SimSun" w:hint="eastAsia"/>
                <w:b/>
                <w:spacing w:val="6"/>
                <w:sz w:val="21"/>
                <w:szCs w:val="21"/>
                <w:lang w:eastAsia="zh-CN"/>
              </w:rPr>
              <w:t>第十条</w:t>
            </w:r>
            <w:r w:rsidRPr="007758FA">
              <w:rPr>
                <w:rFonts w:ascii="SimSun" w:eastAsia="SimSun" w:hAnsi="SimSun" w:hint="eastAsia"/>
                <w:spacing w:val="6"/>
                <w:sz w:val="21"/>
                <w:szCs w:val="21"/>
                <w:lang w:eastAsia="zh-CN"/>
              </w:rPr>
              <w:t xml:space="preserve">　在吨税执照期限内，应税船舶发生下列情形之一的，海关按照实际发生的天数批注延长吨税执照期限：</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（一）避难、防疫隔离、修理，并不上下客货；</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（二）军队、武装警察部队征用。</w:t>
            </w:r>
          </w:p>
          <w:p w:rsidR="00426CC0" w:rsidRPr="007758FA" w:rsidRDefault="00426CC0" w:rsidP="003E3F1A">
            <w:pPr>
              <w:wordWrap/>
              <w:snapToGrid w:val="0"/>
              <w:spacing w:line="290" w:lineRule="atLeast"/>
              <w:rPr>
                <w:rFonts w:ascii="SimSun" w:eastAsia="SimSun" w:hAnsi="SimSun"/>
                <w:spacing w:val="6"/>
                <w:sz w:val="21"/>
                <w:szCs w:val="21"/>
                <w:lang w:eastAsia="zh-CN"/>
              </w:rPr>
            </w:pPr>
            <w:r w:rsidRPr="0048168E">
              <w:rPr>
                <w:rFonts w:ascii="SimSun" w:eastAsia="SimSun" w:hAnsi="SimSun" w:hint="eastAsia"/>
                <w:sz w:val="21"/>
                <w:szCs w:val="21"/>
                <w:lang w:eastAsia="zh-CN"/>
              </w:rPr>
              <w:t xml:space="preserve">　　</w:t>
            </w:r>
            <w:r w:rsidRPr="007758FA">
              <w:rPr>
                <w:rFonts w:ascii="SimSun" w:eastAsia="SimSun" w:hAnsi="SimSun" w:hint="eastAsia"/>
                <w:spacing w:val="6"/>
                <w:sz w:val="21"/>
                <w:szCs w:val="21"/>
                <w:lang w:eastAsia="zh-CN"/>
              </w:rPr>
              <w:t>应税船舶因不可抗力在未设立海关地点停泊的，船舶负责人应当立即向附近海关报告，并在不可抗力原因消除后，依照本条例规定向海关申报纳税。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第十一条</w:t>
            </w:r>
            <w:r w:rsidRPr="0048168E">
              <w:rPr>
                <w:rFonts w:ascii="SimSun" w:eastAsia="SimSun" w:hAnsi="SimSun" w:hint="eastAsia"/>
                <w:sz w:val="21"/>
                <w:szCs w:val="21"/>
                <w:lang w:eastAsia="zh-CN"/>
              </w:rPr>
              <w:t xml:space="preserve">　符合本条例第九条第五项至第八项、第十条规定的船舶，应当</w:t>
            </w:r>
            <w:r w:rsidRPr="0048168E">
              <w:rPr>
                <w:rFonts w:ascii="SimSun" w:eastAsia="SimSun" w:hAnsi="SimSun" w:hint="eastAsia"/>
                <w:sz w:val="21"/>
                <w:szCs w:val="21"/>
                <w:lang w:eastAsia="zh-CN"/>
              </w:rPr>
              <w:lastRenderedPageBreak/>
              <w:t>提供海事部门、渔业船舶管理部门或者卫生检疫部门等部门、机构出具的具有法律效力的证明文件或者使用关系证明文件，申明免税或者延长吨税执照期限的依据和理由。</w:t>
            </w:r>
          </w:p>
          <w:p w:rsidR="00426CC0" w:rsidRPr="004F2CC1" w:rsidRDefault="00426CC0" w:rsidP="003E3F1A">
            <w:pPr>
              <w:wordWrap/>
              <w:snapToGrid w:val="0"/>
              <w:spacing w:line="290" w:lineRule="atLeast"/>
              <w:rPr>
                <w:rFonts w:ascii="SimSun" w:eastAsia="SimSun" w:hAnsi="SimSun"/>
                <w:spacing w:val="16"/>
                <w:sz w:val="21"/>
                <w:szCs w:val="21"/>
                <w:lang w:eastAsia="zh-CN"/>
              </w:rPr>
            </w:pPr>
            <w:r w:rsidRPr="004F2CC1">
              <w:rPr>
                <w:rFonts w:ascii="SimSun" w:eastAsia="SimSun" w:hAnsi="SimSun" w:hint="eastAsia"/>
                <w:spacing w:val="16"/>
                <w:sz w:val="21"/>
                <w:szCs w:val="21"/>
                <w:lang w:eastAsia="zh-CN"/>
              </w:rPr>
              <w:t xml:space="preserve">　　</w:t>
            </w:r>
            <w:r w:rsidRPr="004F2CC1">
              <w:rPr>
                <w:rFonts w:ascii="SimSun" w:eastAsia="SimSun" w:hAnsi="SimSun" w:hint="eastAsia"/>
                <w:b/>
                <w:spacing w:val="16"/>
                <w:sz w:val="21"/>
                <w:szCs w:val="21"/>
                <w:lang w:eastAsia="zh-CN"/>
              </w:rPr>
              <w:t>第十二条</w:t>
            </w:r>
            <w:r w:rsidRPr="004F2CC1">
              <w:rPr>
                <w:rFonts w:ascii="SimSun" w:eastAsia="SimSun" w:hAnsi="SimSun" w:hint="eastAsia"/>
                <w:spacing w:val="16"/>
                <w:sz w:val="21"/>
                <w:szCs w:val="21"/>
                <w:lang w:eastAsia="zh-CN"/>
              </w:rPr>
              <w:t xml:space="preserve">　应税船舶负责人应当自海关填发吨税缴款凭证之日起15日内向指定银行缴清税款。未按期缴清税款的，自滞纳税款之日起，按日加收滞纳税款0.5‰的滞纳金。</w:t>
            </w:r>
          </w:p>
          <w:p w:rsidR="00426CC0" w:rsidRPr="004F2CC1" w:rsidRDefault="00426CC0" w:rsidP="003E3F1A">
            <w:pPr>
              <w:wordWrap/>
              <w:snapToGrid w:val="0"/>
              <w:spacing w:line="290" w:lineRule="atLeast"/>
              <w:rPr>
                <w:rFonts w:ascii="SimSun" w:eastAsia="SimSun" w:hAnsi="SimSun"/>
                <w:spacing w:val="12"/>
                <w:sz w:val="21"/>
                <w:szCs w:val="21"/>
                <w:lang w:eastAsia="zh-CN"/>
              </w:rPr>
            </w:pPr>
            <w:r w:rsidRPr="004F2CC1">
              <w:rPr>
                <w:rFonts w:ascii="SimSun" w:eastAsia="SimSun" w:hAnsi="SimSun" w:hint="eastAsia"/>
                <w:spacing w:val="12"/>
                <w:sz w:val="21"/>
                <w:szCs w:val="21"/>
                <w:lang w:eastAsia="zh-CN"/>
              </w:rPr>
              <w:t xml:space="preserve">　　</w:t>
            </w:r>
            <w:r w:rsidRPr="004F2CC1">
              <w:rPr>
                <w:rFonts w:ascii="SimSun" w:eastAsia="SimSun" w:hAnsi="SimSun" w:hint="eastAsia"/>
                <w:b/>
                <w:spacing w:val="12"/>
                <w:sz w:val="21"/>
                <w:szCs w:val="21"/>
                <w:lang w:eastAsia="zh-CN"/>
              </w:rPr>
              <w:t>第十三条</w:t>
            </w:r>
            <w:r w:rsidRPr="004F2CC1">
              <w:rPr>
                <w:rFonts w:ascii="SimSun" w:eastAsia="SimSun" w:hAnsi="SimSun" w:hint="eastAsia"/>
                <w:spacing w:val="12"/>
                <w:sz w:val="21"/>
                <w:szCs w:val="21"/>
                <w:lang w:eastAsia="zh-CN"/>
              </w:rPr>
              <w:t xml:space="preserve">　应税船舶到达港口前，经海关核准先行申报并办结出入境手续的，应税船舶负责人应当向海关提供与其依法履行吨税缴纳义务相适应的担保；应税船舶到达港口后，依照本条例规定向海关申报纳税。</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下列财产、权利可以用于担保：</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（一）人民币、可自由兑换货币；</w:t>
            </w:r>
          </w:p>
          <w:p w:rsidR="00426CC0" w:rsidRPr="004F2CC1" w:rsidRDefault="00426CC0" w:rsidP="003E3F1A">
            <w:pPr>
              <w:wordWrap/>
              <w:snapToGrid w:val="0"/>
              <w:spacing w:line="290" w:lineRule="atLeast"/>
              <w:rPr>
                <w:rFonts w:ascii="SimSun" w:eastAsia="SimSun" w:hAnsi="SimSun"/>
                <w:spacing w:val="-16"/>
                <w:sz w:val="21"/>
                <w:szCs w:val="21"/>
                <w:lang w:eastAsia="zh-CN"/>
              </w:rPr>
            </w:pPr>
            <w:r w:rsidRPr="0048168E">
              <w:rPr>
                <w:rFonts w:ascii="SimSun" w:eastAsia="SimSun" w:hAnsi="SimSun" w:hint="eastAsia"/>
                <w:sz w:val="21"/>
                <w:szCs w:val="21"/>
                <w:lang w:eastAsia="zh-CN"/>
              </w:rPr>
              <w:t xml:space="preserve">　　</w:t>
            </w:r>
            <w:r w:rsidRPr="004F2CC1">
              <w:rPr>
                <w:rFonts w:ascii="SimSun" w:eastAsia="SimSun" w:hAnsi="SimSun" w:hint="eastAsia"/>
                <w:spacing w:val="-16"/>
                <w:sz w:val="21"/>
                <w:szCs w:val="21"/>
                <w:lang w:eastAsia="zh-CN"/>
              </w:rPr>
              <w:t>（二）汇票、本票、支票、债券、存单；</w:t>
            </w:r>
          </w:p>
          <w:p w:rsidR="00426CC0" w:rsidRPr="004F2CC1" w:rsidRDefault="00426CC0" w:rsidP="003E3F1A">
            <w:pPr>
              <w:wordWrap/>
              <w:snapToGrid w:val="0"/>
              <w:spacing w:line="290" w:lineRule="atLeast"/>
              <w:rPr>
                <w:rFonts w:ascii="SimSun" w:eastAsia="SimSun" w:hAnsi="SimSun"/>
                <w:spacing w:val="-10"/>
                <w:sz w:val="21"/>
                <w:szCs w:val="21"/>
                <w:lang w:eastAsia="zh-CN"/>
              </w:rPr>
            </w:pPr>
            <w:r w:rsidRPr="0048168E">
              <w:rPr>
                <w:rFonts w:ascii="SimSun" w:eastAsia="SimSun" w:hAnsi="SimSun" w:hint="eastAsia"/>
                <w:sz w:val="21"/>
                <w:szCs w:val="21"/>
                <w:lang w:eastAsia="zh-CN"/>
              </w:rPr>
              <w:t xml:space="preserve">　</w:t>
            </w:r>
            <w:r w:rsidRPr="004F2CC1">
              <w:rPr>
                <w:rFonts w:ascii="SimSun" w:eastAsia="SimSun" w:hAnsi="SimSun" w:hint="eastAsia"/>
                <w:spacing w:val="-10"/>
                <w:sz w:val="21"/>
                <w:szCs w:val="21"/>
                <w:lang w:eastAsia="zh-CN"/>
              </w:rPr>
              <w:t xml:space="preserve">　（三）银行、非银行金融机构的保函；</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（四）海关依法认可的其他财产、权利。</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第十四条</w:t>
            </w:r>
            <w:r w:rsidRPr="0048168E">
              <w:rPr>
                <w:rFonts w:ascii="SimSun" w:eastAsia="SimSun" w:hAnsi="SimSun" w:hint="eastAsia"/>
                <w:sz w:val="21"/>
                <w:szCs w:val="21"/>
                <w:lang w:eastAsia="zh-CN"/>
              </w:rPr>
              <w:t xml:space="preserve">　应税船舶在吨税执照期限内，因修理导致净吨位变化的，吨税执照继续有效。应税船舶办理出入境手续时，应当提供船舶经过修理的证明文件。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第十五条</w:t>
            </w:r>
            <w:r w:rsidRPr="0048168E">
              <w:rPr>
                <w:rFonts w:ascii="SimSun" w:eastAsia="SimSun" w:hAnsi="SimSun" w:hint="eastAsia"/>
                <w:sz w:val="21"/>
                <w:szCs w:val="21"/>
                <w:lang w:eastAsia="zh-CN"/>
              </w:rPr>
              <w:t xml:space="preserve">　应税船舶在吨税执照期限内，因税目税率调整或者船籍改变而导致适用税率变化的，吨税执照继续有效。</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因船籍改变而导致适用税率变化的，应税船舶在办理出入境手续时，应当提供船籍改变的证明文件。</w:t>
            </w:r>
          </w:p>
          <w:p w:rsidR="00426CC0" w:rsidRPr="004F2CC1" w:rsidRDefault="00426CC0" w:rsidP="003E3F1A">
            <w:pPr>
              <w:wordWrap/>
              <w:snapToGrid w:val="0"/>
              <w:spacing w:line="290" w:lineRule="atLeast"/>
              <w:rPr>
                <w:rFonts w:ascii="SimSun" w:eastAsia="SimSun" w:hAnsi="SimSun"/>
                <w:spacing w:val="6"/>
                <w:sz w:val="21"/>
                <w:szCs w:val="21"/>
                <w:lang w:eastAsia="zh-CN"/>
              </w:rPr>
            </w:pPr>
            <w:r w:rsidRPr="0048168E">
              <w:rPr>
                <w:rFonts w:ascii="SimSun" w:eastAsia="SimSun" w:hAnsi="SimSun" w:hint="eastAsia"/>
                <w:sz w:val="21"/>
                <w:szCs w:val="21"/>
                <w:lang w:eastAsia="zh-CN"/>
              </w:rPr>
              <w:t xml:space="preserve">　　</w:t>
            </w:r>
            <w:r w:rsidRPr="004F2CC1">
              <w:rPr>
                <w:rFonts w:ascii="SimSun" w:eastAsia="SimSun" w:hAnsi="SimSun" w:hint="eastAsia"/>
                <w:b/>
                <w:spacing w:val="6"/>
                <w:sz w:val="21"/>
                <w:szCs w:val="21"/>
                <w:lang w:eastAsia="zh-CN"/>
              </w:rPr>
              <w:t>第十六条</w:t>
            </w:r>
            <w:r w:rsidRPr="004F2CC1">
              <w:rPr>
                <w:rFonts w:ascii="SimSun" w:eastAsia="SimSun" w:hAnsi="SimSun" w:hint="eastAsia"/>
                <w:spacing w:val="6"/>
                <w:sz w:val="21"/>
                <w:szCs w:val="21"/>
                <w:lang w:eastAsia="zh-CN"/>
              </w:rPr>
              <w:t xml:space="preserve">　吨税执照在期满前毁损或者遗失的，应当向原发照海关书面申请核发吨税执照副本，不再补税。</w:t>
            </w:r>
          </w:p>
          <w:p w:rsidR="00426CC0" w:rsidRPr="001550E9" w:rsidRDefault="00426CC0" w:rsidP="003E3F1A">
            <w:pPr>
              <w:wordWrap/>
              <w:snapToGrid w:val="0"/>
              <w:spacing w:line="290" w:lineRule="atLeast"/>
              <w:rPr>
                <w:rFonts w:ascii="SimSun" w:eastAsia="SimSun" w:hAnsi="SimSun"/>
                <w:spacing w:val="4"/>
                <w:sz w:val="21"/>
                <w:szCs w:val="21"/>
                <w:lang w:eastAsia="zh-CN"/>
              </w:rPr>
            </w:pPr>
            <w:r w:rsidRPr="0048168E">
              <w:rPr>
                <w:rFonts w:ascii="SimSun" w:eastAsia="SimSun" w:hAnsi="SimSun" w:hint="eastAsia"/>
                <w:sz w:val="21"/>
                <w:szCs w:val="21"/>
                <w:lang w:eastAsia="zh-CN"/>
              </w:rPr>
              <w:t xml:space="preserve">　</w:t>
            </w:r>
            <w:r w:rsidRPr="001550E9">
              <w:rPr>
                <w:rFonts w:ascii="SimSun" w:eastAsia="SimSun" w:hAnsi="SimSun" w:hint="eastAsia"/>
                <w:spacing w:val="4"/>
                <w:sz w:val="21"/>
                <w:szCs w:val="21"/>
                <w:lang w:eastAsia="zh-CN"/>
              </w:rPr>
              <w:t xml:space="preserve">　</w:t>
            </w:r>
            <w:r w:rsidRPr="001550E9">
              <w:rPr>
                <w:rFonts w:ascii="SimSun" w:eastAsia="SimSun" w:hAnsi="SimSun" w:hint="eastAsia"/>
                <w:b/>
                <w:spacing w:val="4"/>
                <w:sz w:val="21"/>
                <w:szCs w:val="21"/>
                <w:lang w:eastAsia="zh-CN"/>
              </w:rPr>
              <w:t>第十七条</w:t>
            </w:r>
            <w:r w:rsidRPr="001550E9">
              <w:rPr>
                <w:rFonts w:ascii="SimSun" w:eastAsia="SimSun" w:hAnsi="SimSun" w:hint="eastAsia"/>
                <w:spacing w:val="4"/>
                <w:sz w:val="21"/>
                <w:szCs w:val="21"/>
                <w:lang w:eastAsia="zh-CN"/>
              </w:rPr>
              <w:t xml:space="preserve">　海关发现少征或者漏征税款的，应当自应税船舶应当缴纳税款之日起1年内，补征税款。但因应税船舶违反规定造成少征或者漏征税款的，海关可以自应当缴纳税款之日起3年内追征税款，并自应当缴纳税款之日起按</w:t>
            </w:r>
            <w:r w:rsidRPr="001550E9">
              <w:rPr>
                <w:rFonts w:ascii="SimSun" w:eastAsia="SimSun" w:hAnsi="SimSun" w:hint="eastAsia"/>
                <w:spacing w:val="4"/>
                <w:sz w:val="21"/>
                <w:szCs w:val="21"/>
                <w:lang w:eastAsia="zh-CN"/>
              </w:rPr>
              <w:lastRenderedPageBreak/>
              <w:t>日加征少征或者漏征税款0.5‰的滞纳金。</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海关发现多征税款的，应当立即通知应税船舶办理退还手续，并加算银行同期活期存款利息。</w:t>
            </w:r>
          </w:p>
          <w:p w:rsidR="00426CC0" w:rsidRPr="001550E9" w:rsidRDefault="00426CC0" w:rsidP="003E3F1A">
            <w:pPr>
              <w:wordWrap/>
              <w:snapToGrid w:val="0"/>
              <w:spacing w:line="290" w:lineRule="atLeast"/>
              <w:rPr>
                <w:rFonts w:ascii="SimSun" w:eastAsia="SimSun" w:hAnsi="SimSun"/>
                <w:spacing w:val="20"/>
                <w:sz w:val="21"/>
                <w:szCs w:val="21"/>
                <w:lang w:eastAsia="zh-CN"/>
              </w:rPr>
            </w:pPr>
            <w:r w:rsidRPr="001550E9">
              <w:rPr>
                <w:rFonts w:ascii="SimSun" w:eastAsia="SimSun" w:hAnsi="SimSun" w:hint="eastAsia"/>
                <w:spacing w:val="20"/>
                <w:sz w:val="21"/>
                <w:szCs w:val="21"/>
                <w:lang w:eastAsia="zh-CN"/>
              </w:rPr>
              <w:t xml:space="preserve">　　应税船舶发现多缴税款的，可以自缴纳税款之日起1年内以书面形式要求海关退还多缴的税款并加算银行同期活期存款利息；海关应当自受理退税申请之日起30日内查实并通知应税船舶办理退还手续。</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应税船舶应当自收到本条第二款、第三款规定的通知之日起3个月内办理有关退还手续。</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第十八条</w:t>
            </w:r>
            <w:r w:rsidRPr="0048168E">
              <w:rPr>
                <w:rFonts w:ascii="SimSun" w:eastAsia="SimSun" w:hAnsi="SimSun" w:hint="eastAsia"/>
                <w:sz w:val="21"/>
                <w:szCs w:val="21"/>
                <w:lang w:eastAsia="zh-CN"/>
              </w:rPr>
              <w:t xml:space="preserve">　应税船舶有下列行为之一的，由海关责令限期改正，处2000元以上3万元以下罚款；不缴或者少缴应纳税款的，处不缴或者少缴税款50%以上5倍以下的罚款，但罚款不得低于2000元：</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（一）未按照规定申报纳税、领取吨税执照的；</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（二）未按照规定交验吨税执照及其他证明文件的。</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第十九条</w:t>
            </w:r>
            <w:r w:rsidRPr="0048168E">
              <w:rPr>
                <w:rFonts w:ascii="SimSun" w:eastAsia="SimSun" w:hAnsi="SimSun" w:hint="eastAsia"/>
                <w:sz w:val="21"/>
                <w:szCs w:val="21"/>
                <w:lang w:eastAsia="zh-CN"/>
              </w:rPr>
              <w:t xml:space="preserve">　吨税税款、滞纳金、罚款以人民币计算。</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第二十条</w:t>
            </w:r>
            <w:r w:rsidRPr="0048168E">
              <w:rPr>
                <w:rFonts w:ascii="SimSun" w:eastAsia="SimSun" w:hAnsi="SimSun" w:hint="eastAsia"/>
                <w:sz w:val="21"/>
                <w:szCs w:val="21"/>
                <w:lang w:eastAsia="zh-CN"/>
              </w:rPr>
              <w:t xml:space="preserve">　本条例下列用语的含义：</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净吨位，是指由船籍国（地区）政府授权签发的船舶吨位证明书上标明的净吨位。</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非机动船舶，是指自身没有动力装置，依靠外力驱动的船舶。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非机动驳船，是指在船舶管理部门登记为驳船的非机动船舶。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捕捞、养殖渔船，是指在中华人民共和国渔业船舶管理部门登记为捕捞船或者养殖船的船舶。</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拖船，是指专门用于拖（推）动运输船舶的专业作业船舶。拖船按照发动机功率每1千瓦折合净吨位0.67吨。</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吨税执照期限，是指按照公历年、日计算的期间。</w:t>
            </w:r>
          </w:p>
          <w:p w:rsidR="00426CC0" w:rsidRPr="0048168E" w:rsidRDefault="00426CC0" w:rsidP="003E3F1A">
            <w:pPr>
              <w:wordWrap/>
              <w:snapToGrid w:val="0"/>
              <w:spacing w:line="290" w:lineRule="atLeast"/>
              <w:rPr>
                <w:rFonts w:ascii="SimSun" w:eastAsia="SimSun" w:hAnsi="SimSun"/>
                <w:sz w:val="21"/>
                <w:szCs w:val="21"/>
                <w:lang w:eastAsia="zh-CN"/>
              </w:rPr>
            </w:pPr>
            <w:r w:rsidRPr="0048168E">
              <w:rPr>
                <w:rFonts w:ascii="SimSun" w:eastAsia="SimSun" w:hAnsi="SimSun" w:hint="eastAsia"/>
                <w:sz w:val="21"/>
                <w:szCs w:val="21"/>
                <w:lang w:eastAsia="zh-CN"/>
              </w:rPr>
              <w:t xml:space="preserve">　　</w:t>
            </w:r>
            <w:r w:rsidRPr="0048168E">
              <w:rPr>
                <w:rFonts w:ascii="SimSun" w:eastAsia="SimSun" w:hAnsi="SimSun" w:hint="eastAsia"/>
                <w:b/>
                <w:sz w:val="21"/>
                <w:szCs w:val="21"/>
                <w:lang w:eastAsia="zh-CN"/>
              </w:rPr>
              <w:t>第二十一条</w:t>
            </w:r>
            <w:r w:rsidRPr="0048168E">
              <w:rPr>
                <w:rFonts w:ascii="SimSun" w:eastAsia="SimSun" w:hAnsi="SimSun" w:hint="eastAsia"/>
                <w:sz w:val="21"/>
                <w:szCs w:val="21"/>
                <w:lang w:eastAsia="zh-CN"/>
              </w:rPr>
              <w:t xml:space="preserve">　本条例自2012年1月1日起施行。1952年9月16日政务院财政经</w:t>
            </w:r>
            <w:r w:rsidRPr="0048168E">
              <w:rPr>
                <w:rFonts w:ascii="SimSun" w:eastAsia="SimSun" w:hAnsi="SimSun" w:hint="eastAsia"/>
                <w:sz w:val="21"/>
                <w:szCs w:val="21"/>
                <w:lang w:eastAsia="zh-CN"/>
              </w:rPr>
              <w:lastRenderedPageBreak/>
              <w:t>济委员会批准、1952年9月29日海关总署发布的《中华人民共和国海关船舶吨税暂行办法》同时废止。</w:t>
            </w:r>
          </w:p>
          <w:p w:rsidR="00426CC0" w:rsidRPr="0048168E" w:rsidRDefault="00426CC0" w:rsidP="003E3F1A">
            <w:pPr>
              <w:wordWrap/>
              <w:snapToGrid w:val="0"/>
              <w:spacing w:line="290" w:lineRule="atLeast"/>
              <w:rPr>
                <w:rFonts w:ascii="SimSun" w:eastAsia="SimSun" w:hAnsi="SimSun"/>
                <w:sz w:val="21"/>
                <w:szCs w:val="21"/>
                <w:lang w:eastAsia="zh-CN"/>
              </w:rPr>
            </w:pPr>
          </w:p>
          <w:p w:rsidR="00426CC0" w:rsidRPr="0048168E" w:rsidRDefault="00426CC0" w:rsidP="003E3F1A">
            <w:pPr>
              <w:wordWrap/>
              <w:snapToGrid w:val="0"/>
              <w:spacing w:line="290" w:lineRule="atLeast"/>
              <w:rPr>
                <w:rFonts w:ascii="SimSun" w:eastAsia="SimSun" w:hAnsi="SimSun"/>
                <w:sz w:val="21"/>
                <w:szCs w:val="21"/>
                <w:lang w:eastAsia="zh-CN"/>
              </w:rPr>
            </w:pPr>
          </w:p>
          <w:tbl>
            <w:tblPr>
              <w:tblW w:w="4750" w:type="pct"/>
              <w:tblCellSpacing w:w="0" w:type="dxa"/>
              <w:tblLayout w:type="fixed"/>
              <w:tblCellMar>
                <w:left w:w="0" w:type="dxa"/>
                <w:right w:w="0" w:type="dxa"/>
              </w:tblCellMar>
              <w:tblLook w:val="04A0"/>
            </w:tblPr>
            <w:tblGrid>
              <w:gridCol w:w="3555"/>
            </w:tblGrid>
            <w:tr w:rsidR="00426CC0" w:rsidRPr="0048168E" w:rsidTr="00426CC0">
              <w:trPr>
                <w:tblCellSpacing w:w="0" w:type="dxa"/>
              </w:trPr>
              <w:tc>
                <w:tcPr>
                  <w:tcW w:w="3555" w:type="dxa"/>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rPr>
                  </w:pPr>
                  <w:r w:rsidRPr="0048168E">
                    <w:rPr>
                      <w:rFonts w:ascii="SimSun" w:eastAsia="SimSun" w:hAnsi="SimSun" w:cs="SimSun" w:hint="eastAsia"/>
                      <w:b/>
                      <w:bCs/>
                      <w:color w:val="000000"/>
                      <w:sz w:val="21"/>
                      <w:szCs w:val="21"/>
                    </w:rPr>
                    <w:t>附：</w:t>
                  </w:r>
                </w:p>
                <w:p w:rsidR="00426CC0" w:rsidRPr="0048168E" w:rsidRDefault="00426CC0" w:rsidP="003E3F1A">
                  <w:pPr>
                    <w:wordWrap/>
                    <w:snapToGrid w:val="0"/>
                    <w:spacing w:line="290" w:lineRule="atLeast"/>
                    <w:jc w:val="center"/>
                    <w:rPr>
                      <w:rFonts w:ascii="SimSun" w:eastAsia="SimSun" w:hAnsi="SimSun" w:cs="SimSun"/>
                      <w:color w:val="000000"/>
                      <w:sz w:val="21"/>
                      <w:szCs w:val="21"/>
                    </w:rPr>
                  </w:pPr>
                  <w:proofErr w:type="spellStart"/>
                  <w:r w:rsidRPr="0048168E">
                    <w:rPr>
                      <w:rFonts w:ascii="SimSun" w:eastAsia="SimSun" w:hAnsi="SimSun" w:cs="SimSun" w:hint="eastAsia"/>
                      <w:b/>
                      <w:bCs/>
                      <w:color w:val="000000"/>
                      <w:sz w:val="21"/>
                      <w:szCs w:val="21"/>
                    </w:rPr>
                    <w:t>吨税税目税率表</w:t>
                  </w:r>
                  <w:proofErr w:type="spellEnd"/>
                </w:p>
                <w:tbl>
                  <w:tblPr>
                    <w:tblW w:w="3386" w:type="dxa"/>
                    <w:jc w:val="center"/>
                    <w:tblBorders>
                      <w:top w:val="single" w:sz="6" w:space="0" w:color="0A0A0A"/>
                      <w:left w:val="single" w:sz="6" w:space="0" w:color="0A0A0A"/>
                      <w:bottom w:val="single" w:sz="6" w:space="0" w:color="0A0A0A"/>
                      <w:right w:val="single" w:sz="6" w:space="0" w:color="0A0A0A"/>
                    </w:tblBorders>
                    <w:shd w:val="clear" w:color="auto" w:fill="FFFFFF"/>
                    <w:tblLayout w:type="fixed"/>
                    <w:tblCellMar>
                      <w:top w:w="60" w:type="dxa"/>
                      <w:left w:w="60" w:type="dxa"/>
                      <w:bottom w:w="60" w:type="dxa"/>
                      <w:right w:w="60" w:type="dxa"/>
                    </w:tblCellMar>
                    <w:tblLook w:val="04A0"/>
                  </w:tblPr>
                  <w:tblGrid>
                    <w:gridCol w:w="971"/>
                    <w:gridCol w:w="264"/>
                    <w:gridCol w:w="330"/>
                    <w:gridCol w:w="332"/>
                    <w:gridCol w:w="276"/>
                    <w:gridCol w:w="276"/>
                    <w:gridCol w:w="365"/>
                    <w:gridCol w:w="572"/>
                  </w:tblGrid>
                  <w:tr w:rsidR="00426CC0" w:rsidRPr="0048168E" w:rsidTr="002B1B5E">
                    <w:trPr>
                      <w:trHeight w:val="406"/>
                      <w:jc w:val="center"/>
                    </w:trPr>
                    <w:tc>
                      <w:tcPr>
                        <w:tcW w:w="971"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税　目</w:t>
                        </w:r>
                        <w:r w:rsidRPr="0048168E">
                          <w:rPr>
                            <w:rFonts w:ascii="SimSun" w:eastAsia="SimSun" w:hAnsi="SimSun" w:cs="SimSun"/>
                            <w:color w:val="000000"/>
                            <w:sz w:val="21"/>
                            <w:szCs w:val="21"/>
                            <w:lang w:eastAsia="zh-CN"/>
                          </w:rPr>
                          <w:br/>
                          <w:t xml:space="preserve">（按船舶净吨位划分） </w:t>
                        </w:r>
                      </w:p>
                    </w:tc>
                    <w:tc>
                      <w:tcPr>
                        <w:tcW w:w="1843" w:type="dxa"/>
                        <w:gridSpan w:val="6"/>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税　率（元/</w:t>
                        </w:r>
                        <w:proofErr w:type="spellStart"/>
                        <w:r w:rsidRPr="0048168E">
                          <w:rPr>
                            <w:rFonts w:ascii="SimSun" w:eastAsia="SimSun" w:hAnsi="SimSun" w:cs="SimSun"/>
                            <w:color w:val="000000"/>
                            <w:sz w:val="21"/>
                            <w:szCs w:val="21"/>
                          </w:rPr>
                          <w:t>净吨</w:t>
                        </w:r>
                        <w:proofErr w:type="spellEnd"/>
                        <w:r w:rsidRPr="0048168E">
                          <w:rPr>
                            <w:rFonts w:ascii="SimSun" w:eastAsia="SimSun" w:hAnsi="SimSun" w:cs="SimSun"/>
                            <w:color w:val="000000"/>
                            <w:sz w:val="21"/>
                            <w:szCs w:val="21"/>
                          </w:rPr>
                          <w:t xml:space="preserve">） </w:t>
                        </w:r>
                      </w:p>
                    </w:tc>
                    <w:tc>
                      <w:tcPr>
                        <w:tcW w:w="57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备　注</w:t>
                        </w:r>
                      </w:p>
                    </w:tc>
                  </w:tr>
                  <w:tr w:rsidR="00426CC0" w:rsidRPr="0048168E" w:rsidTr="002B1B5E">
                    <w:trPr>
                      <w:trHeight w:val="130"/>
                      <w:jc w:val="center"/>
                    </w:trPr>
                    <w:tc>
                      <w:tcPr>
                        <w:tcW w:w="97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rPr>
                        </w:pPr>
                      </w:p>
                    </w:tc>
                    <w:tc>
                      <w:tcPr>
                        <w:tcW w:w="92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普通税率</w:t>
                        </w:r>
                        <w:r w:rsidRPr="0048168E">
                          <w:rPr>
                            <w:rFonts w:ascii="SimSun" w:eastAsia="SimSun" w:hAnsi="SimSun" w:cs="SimSun"/>
                            <w:color w:val="000000"/>
                            <w:sz w:val="21"/>
                            <w:szCs w:val="21"/>
                            <w:lang w:eastAsia="zh-CN"/>
                          </w:rPr>
                          <w:br/>
                          <w:t xml:space="preserve">（按执照期限划分） </w:t>
                        </w:r>
                      </w:p>
                    </w:tc>
                    <w:tc>
                      <w:tcPr>
                        <w:tcW w:w="91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优惠税率</w:t>
                        </w:r>
                        <w:r w:rsidRPr="0048168E">
                          <w:rPr>
                            <w:rFonts w:ascii="SimSun" w:eastAsia="SimSun" w:hAnsi="SimSun" w:cs="SimSun"/>
                            <w:color w:val="000000"/>
                            <w:sz w:val="21"/>
                            <w:szCs w:val="21"/>
                            <w:lang w:eastAsia="zh-CN"/>
                          </w:rPr>
                          <w:br/>
                          <w:t xml:space="preserve">（按执照期限划分） </w:t>
                        </w:r>
                      </w:p>
                    </w:tc>
                    <w:tc>
                      <w:tcPr>
                        <w:tcW w:w="57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p>
                    </w:tc>
                  </w:tr>
                  <w:tr w:rsidR="00426CC0" w:rsidRPr="0048168E" w:rsidTr="002B1B5E">
                    <w:trPr>
                      <w:trHeight w:val="846"/>
                      <w:jc w:val="center"/>
                    </w:trPr>
                    <w:tc>
                      <w:tcPr>
                        <w:tcW w:w="971"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1年 </w:t>
                        </w:r>
                      </w:p>
                    </w:tc>
                    <w:tc>
                      <w:tcPr>
                        <w:tcW w:w="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90日 </w:t>
                        </w:r>
                      </w:p>
                    </w:tc>
                    <w:tc>
                      <w:tcPr>
                        <w:tcW w:w="3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30日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1年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90日 </w:t>
                        </w:r>
                      </w:p>
                    </w:tc>
                    <w:tc>
                      <w:tcPr>
                        <w:tcW w:w="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30日 </w:t>
                        </w:r>
                      </w:p>
                    </w:tc>
                    <w:tc>
                      <w:tcPr>
                        <w:tcW w:w="57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p>
                    </w:tc>
                  </w:tr>
                  <w:tr w:rsidR="00426CC0" w:rsidRPr="0048168E" w:rsidTr="002B1B5E">
                    <w:trPr>
                      <w:trHeight w:val="352"/>
                      <w:jc w:val="center"/>
                    </w:trPr>
                    <w:tc>
                      <w:tcPr>
                        <w:tcW w:w="9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不超过2000净吨</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12.6 </w:t>
                        </w:r>
                      </w:p>
                    </w:tc>
                    <w:tc>
                      <w:tcPr>
                        <w:tcW w:w="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4.2 </w:t>
                        </w:r>
                      </w:p>
                    </w:tc>
                    <w:tc>
                      <w:tcPr>
                        <w:tcW w:w="3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2.1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9.0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3.0 </w:t>
                        </w:r>
                      </w:p>
                    </w:tc>
                    <w:tc>
                      <w:tcPr>
                        <w:tcW w:w="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 xml:space="preserve">1.5 </w:t>
                        </w:r>
                      </w:p>
                    </w:tc>
                    <w:tc>
                      <w:tcPr>
                        <w:tcW w:w="57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拖船和非机动驳船分别按相同净吨位船舶税率的50%计征税款</w:t>
                        </w:r>
                      </w:p>
                    </w:tc>
                  </w:tr>
                  <w:tr w:rsidR="00426CC0" w:rsidRPr="0048168E" w:rsidTr="002B1B5E">
                    <w:trPr>
                      <w:trHeight w:val="130"/>
                      <w:jc w:val="center"/>
                    </w:trPr>
                    <w:tc>
                      <w:tcPr>
                        <w:tcW w:w="9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超过2000净吨，但不超过10000净吨</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24.0 </w:t>
                        </w:r>
                      </w:p>
                    </w:tc>
                    <w:tc>
                      <w:tcPr>
                        <w:tcW w:w="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8.0 </w:t>
                        </w:r>
                      </w:p>
                    </w:tc>
                    <w:tc>
                      <w:tcPr>
                        <w:tcW w:w="3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4.0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17.4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5.8 </w:t>
                        </w:r>
                      </w:p>
                    </w:tc>
                    <w:tc>
                      <w:tcPr>
                        <w:tcW w:w="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2.9 </w:t>
                        </w:r>
                      </w:p>
                    </w:tc>
                    <w:tc>
                      <w:tcPr>
                        <w:tcW w:w="57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rPr>
                        </w:pPr>
                      </w:p>
                    </w:tc>
                  </w:tr>
                  <w:tr w:rsidR="00426CC0" w:rsidRPr="0048168E" w:rsidTr="002B1B5E">
                    <w:trPr>
                      <w:trHeight w:val="130"/>
                      <w:jc w:val="center"/>
                    </w:trPr>
                    <w:tc>
                      <w:tcPr>
                        <w:tcW w:w="9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lang w:eastAsia="zh-CN"/>
                          </w:rPr>
                        </w:pPr>
                        <w:r w:rsidRPr="0048168E">
                          <w:rPr>
                            <w:rFonts w:ascii="SimSun" w:eastAsia="SimSun" w:hAnsi="SimSun" w:cs="SimSun"/>
                            <w:color w:val="000000"/>
                            <w:sz w:val="21"/>
                            <w:szCs w:val="21"/>
                            <w:lang w:eastAsia="zh-CN"/>
                          </w:rPr>
                          <w:t>超过10000净吨，但不超过50000净吨</w:t>
                        </w:r>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27.6 </w:t>
                        </w:r>
                      </w:p>
                    </w:tc>
                    <w:tc>
                      <w:tcPr>
                        <w:tcW w:w="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9.2 </w:t>
                        </w:r>
                      </w:p>
                    </w:tc>
                    <w:tc>
                      <w:tcPr>
                        <w:tcW w:w="3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4.6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19.8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6.6 </w:t>
                        </w:r>
                      </w:p>
                    </w:tc>
                    <w:tc>
                      <w:tcPr>
                        <w:tcW w:w="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3.3 </w:t>
                        </w:r>
                      </w:p>
                    </w:tc>
                    <w:tc>
                      <w:tcPr>
                        <w:tcW w:w="57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rPr>
                        </w:pPr>
                      </w:p>
                    </w:tc>
                  </w:tr>
                  <w:tr w:rsidR="00426CC0" w:rsidRPr="0048168E" w:rsidTr="002B1B5E">
                    <w:trPr>
                      <w:trHeight w:val="130"/>
                      <w:jc w:val="center"/>
                    </w:trPr>
                    <w:tc>
                      <w:tcPr>
                        <w:tcW w:w="9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rPr>
                        </w:pPr>
                        <w:r w:rsidRPr="0048168E">
                          <w:rPr>
                            <w:rFonts w:ascii="SimSun" w:eastAsia="SimSun" w:hAnsi="SimSun" w:cs="SimSun"/>
                            <w:color w:val="000000"/>
                            <w:sz w:val="21"/>
                            <w:szCs w:val="21"/>
                          </w:rPr>
                          <w:t>超过50000</w:t>
                        </w:r>
                        <w:proofErr w:type="spellStart"/>
                        <w:r w:rsidRPr="0048168E">
                          <w:rPr>
                            <w:rFonts w:ascii="SimSun" w:eastAsia="SimSun" w:hAnsi="SimSun" w:cs="SimSun"/>
                            <w:color w:val="000000"/>
                            <w:sz w:val="21"/>
                            <w:szCs w:val="21"/>
                          </w:rPr>
                          <w:t>净吨</w:t>
                        </w:r>
                        <w:proofErr w:type="spellEnd"/>
                      </w:p>
                    </w:tc>
                    <w:tc>
                      <w:tcPr>
                        <w:tcW w:w="26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31.8 </w:t>
                        </w:r>
                      </w:p>
                    </w:tc>
                    <w:tc>
                      <w:tcPr>
                        <w:tcW w:w="3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10.6 </w:t>
                        </w:r>
                      </w:p>
                    </w:tc>
                    <w:tc>
                      <w:tcPr>
                        <w:tcW w:w="33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5.3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22.8 </w:t>
                        </w:r>
                      </w:p>
                    </w:tc>
                    <w:tc>
                      <w:tcPr>
                        <w:tcW w:w="27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 xml:space="preserve">7.6 </w:t>
                        </w:r>
                      </w:p>
                    </w:tc>
                    <w:tc>
                      <w:tcPr>
                        <w:tcW w:w="3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jc w:val="center"/>
                          <w:rPr>
                            <w:rFonts w:ascii="SimSun" w:eastAsia="SimSun" w:hAnsi="SimSun" w:cs="SimSun"/>
                            <w:color w:val="000000"/>
                            <w:sz w:val="21"/>
                            <w:szCs w:val="21"/>
                          </w:rPr>
                        </w:pPr>
                        <w:r w:rsidRPr="0048168E">
                          <w:rPr>
                            <w:rFonts w:ascii="SimSun" w:eastAsia="SimSun" w:hAnsi="SimSun" w:cs="SimSun"/>
                            <w:color w:val="000000"/>
                            <w:sz w:val="21"/>
                            <w:szCs w:val="21"/>
                          </w:rPr>
                          <w:t>3.8</w:t>
                        </w:r>
                      </w:p>
                    </w:tc>
                    <w:tc>
                      <w:tcPr>
                        <w:tcW w:w="572"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CC0" w:rsidRPr="0048168E" w:rsidRDefault="00426CC0" w:rsidP="003E3F1A">
                        <w:pPr>
                          <w:wordWrap/>
                          <w:snapToGrid w:val="0"/>
                          <w:spacing w:line="290" w:lineRule="atLeast"/>
                          <w:rPr>
                            <w:rFonts w:ascii="SimSun" w:eastAsia="SimSun" w:hAnsi="SimSun" w:cs="SimSun"/>
                            <w:color w:val="000000"/>
                            <w:sz w:val="21"/>
                            <w:szCs w:val="21"/>
                          </w:rPr>
                        </w:pPr>
                      </w:p>
                    </w:tc>
                  </w:tr>
                </w:tbl>
                <w:p w:rsidR="00426CC0" w:rsidRPr="0048168E" w:rsidRDefault="00426CC0" w:rsidP="003E3F1A">
                  <w:pPr>
                    <w:wordWrap/>
                    <w:snapToGrid w:val="0"/>
                    <w:spacing w:line="290" w:lineRule="atLeast"/>
                    <w:rPr>
                      <w:rFonts w:ascii="SimSun" w:eastAsia="SimSun" w:hAnsi="SimSun" w:cs="SimSun"/>
                      <w:color w:val="000000"/>
                      <w:sz w:val="21"/>
                      <w:szCs w:val="21"/>
                    </w:rPr>
                  </w:pPr>
                </w:p>
              </w:tc>
            </w:tr>
          </w:tbl>
          <w:p w:rsidR="00426CC0" w:rsidRPr="0048168E" w:rsidRDefault="00426CC0" w:rsidP="003E3F1A">
            <w:pPr>
              <w:wordWrap/>
              <w:snapToGrid w:val="0"/>
              <w:spacing w:line="290" w:lineRule="atLeast"/>
              <w:rPr>
                <w:rFonts w:ascii="SimSun" w:eastAsia="SimSun" w:hAnsi="SimSun"/>
                <w:sz w:val="21"/>
                <w:szCs w:val="21"/>
              </w:rPr>
            </w:pPr>
          </w:p>
          <w:p w:rsidR="00B6703E" w:rsidRPr="0048168E" w:rsidRDefault="00B6703E" w:rsidP="003E3F1A">
            <w:pPr>
              <w:wordWrap/>
              <w:snapToGrid w:val="0"/>
              <w:spacing w:line="290" w:lineRule="atLeast"/>
              <w:rPr>
                <w:rFonts w:ascii="SimSun" w:eastAsia="SimSun" w:hAnsi="SimSun"/>
                <w:sz w:val="21"/>
                <w:szCs w:val="21"/>
              </w:rPr>
            </w:pPr>
          </w:p>
        </w:tc>
      </w:tr>
    </w:tbl>
    <w:p w:rsidR="00DE6580" w:rsidRDefault="00DE6580"/>
    <w:sectPr w:rsidR="00DE6580" w:rsidSect="00B6703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EBD" w:rsidRDefault="00183EBD" w:rsidP="00B6703E">
      <w:r>
        <w:separator/>
      </w:r>
    </w:p>
  </w:endnote>
  <w:endnote w:type="continuationSeparator" w:id="0">
    <w:p w:rsidR="00183EBD" w:rsidRDefault="00183EBD" w:rsidP="00B6703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EBD" w:rsidRDefault="00183EBD" w:rsidP="00B6703E">
      <w:r>
        <w:separator/>
      </w:r>
    </w:p>
  </w:footnote>
  <w:footnote w:type="continuationSeparator" w:id="0">
    <w:p w:rsidR="00183EBD" w:rsidRDefault="00183EBD" w:rsidP="00B670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03E"/>
    <w:rsid w:val="001550E9"/>
    <w:rsid w:val="00183EBD"/>
    <w:rsid w:val="002B1B5E"/>
    <w:rsid w:val="003E3F1A"/>
    <w:rsid w:val="00426CC0"/>
    <w:rsid w:val="0048168E"/>
    <w:rsid w:val="004F2CC1"/>
    <w:rsid w:val="007758FA"/>
    <w:rsid w:val="008B0A6B"/>
    <w:rsid w:val="00920BFB"/>
    <w:rsid w:val="00AF0ED3"/>
    <w:rsid w:val="00B6703E"/>
    <w:rsid w:val="00BB6417"/>
    <w:rsid w:val="00D05134"/>
    <w:rsid w:val="00D50810"/>
    <w:rsid w:val="00DE658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A6B"/>
    <w:pPr>
      <w:widowControl w:val="0"/>
      <w:wordWrap w:val="0"/>
      <w:autoSpaceDE w:val="0"/>
      <w:autoSpaceDN w:val="0"/>
      <w:jc w:val="both"/>
    </w:pPr>
    <w:rPr>
      <w:rFonts w:ascii="Malgun Gothic" w:eastAsia="Malgun Gothic" w:hAnsi="Malgun Gothic"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703E"/>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B6703E"/>
  </w:style>
  <w:style w:type="paragraph" w:styleId="a4">
    <w:name w:val="footer"/>
    <w:basedOn w:val="a"/>
    <w:link w:val="Char0"/>
    <w:uiPriority w:val="99"/>
    <w:semiHidden/>
    <w:unhideWhenUsed/>
    <w:rsid w:val="00B6703E"/>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B6703E"/>
  </w:style>
  <w:style w:type="table" w:styleId="a5">
    <w:name w:val="Table Grid"/>
    <w:basedOn w:val="a1"/>
    <w:uiPriority w:val="59"/>
    <w:rsid w:val="00B6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1073</Words>
  <Characters>6121</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2011-12-27T01:18:00Z</dcterms:created>
  <dcterms:modified xsi:type="dcterms:W3CDTF">2011-12-27T01:32:00Z</dcterms:modified>
</cp:coreProperties>
</file>