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057EBD" w:rsidTr="00540D2D">
        <w:tc>
          <w:tcPr>
            <w:tcW w:w="4785" w:type="dxa"/>
          </w:tcPr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통관분류 개혁 심화에 관한 건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jc w:val="center"/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 공고 2010년 제56호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jc w:val="lef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통관분류 개혁의 시행 이래, 해관(세관)의 통관 업무 시스템 운영이 안정적이었고 개혁의 효과가 뚜렷했으며, 사회적 반응 또한 양호하여, 개혁의 예상 목표를 달성하였다. 해관의 감독관리 및 서비스를 진일보 향상시키고 통관 효율을 제고하기 위해, 해관총서는 수출화물의 통관분류 개혁 시행의 기초 위에 전국 해관에 통관분류 개혁 업무를 진일보 심화시키기로 결정하였다. 유관사항 공고는 아래와 같다.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수출화물의 통관 분류 개혁을 전국 해관으로 확대 전개한다. 수입화물의 통관 분류 개혁은 북경(北京), 천진(天津), 대련(大连), 상해(上海), 남경(南京), 항주(杭州), 영파(宁波), 복주(福州), 하문(厦门), 청도(青岛), 광주(广州), 심천(深圳), 공북(拱北), 황포(黄埔), 강문(江门) 해관에 시범 시행한다.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적용범위: 해관 통관업무 시스템을 통해 세관 신고를 진행하는 모든 수출입 화물에 대해 통관 분류를 적용한다.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통관 분류는 해관이 기업 자금상황을 기초로, 상품, 물류 등 각종 요소를 종합하여, 위험도에 따라 수출입 화물의 통관 분류 업무를 시행한다.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해관은 법규를 성실히 준수하는 기업의 수출입 화물에 대해 신속한 통관 허가를 진행한다. 페이퍼 세관 신고증은 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사후 서류 교부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와 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현장 서류 교부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등 2종 방식으로 기업이 자주적으로 선택한다. </w:t>
            </w:r>
          </w:p>
          <w:p w:rsidR="00057EBD" w:rsidRPr="00086002" w:rsidRDefault="00057EBD" w:rsidP="0008600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12"/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</w:pPr>
            <w:r w:rsidRPr="00086002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 xml:space="preserve">(1) </w:t>
            </w:r>
            <w:r w:rsidRPr="00086002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>“</w:t>
            </w:r>
            <w:r w:rsidRPr="00086002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사후 서류 교부</w:t>
            </w:r>
            <w:r w:rsidRPr="00086002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>”</w:t>
            </w:r>
            <w:r w:rsidRPr="00086002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 xml:space="preserve">는 해관의 심사를 거쳐 </w:t>
            </w:r>
            <w:r w:rsidRPr="00086002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>“</w:t>
            </w:r>
            <w:r w:rsidRPr="00086002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사후 서류 교부</w:t>
            </w:r>
            <w:r w:rsidRPr="00086002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>”</w:t>
            </w:r>
            <w:r w:rsidRPr="00086002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 xml:space="preserve"> 통관 방식을 허가 받은 기업이 </w:t>
            </w:r>
            <w:r w:rsidRPr="00086002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>“</w:t>
            </w:r>
            <w:r w:rsidRPr="00086002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무서류 세관수속</w:t>
            </w:r>
            <w:r w:rsidRPr="00086002">
              <w:rPr>
                <w:rFonts w:ascii="한컴바탕" w:eastAsia="한컴바탕" w:hAnsi="한컴바탕" w:cs="한컴바탕"/>
                <w:spacing w:val="-2"/>
                <w:szCs w:val="21"/>
                <w:lang w:eastAsia="ko-KR"/>
              </w:rPr>
              <w:t>”</w:t>
            </w:r>
            <w:r w:rsidRPr="00086002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 xml:space="preserve">방식을 취하여 세관 신고증을 입력하고 해관에 신고하며, 해관의 통관 허가를 거친 후, 세관 신고인이 규정된 기한 내에 해관에 페이퍼 세관 신고증서를 제출한다.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현장 서류 교부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는 기업이 《중화인민공화국 해관 수출입화물 신고관리 규정》 (해관총서령 제103호)의 요구에 따라 화물 통관 허가 전, 해관에 페이퍼 세관 신고증서를 제출한다.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5. 허가증과 관련된 수출입 화물에는 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사후 서류 교부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통관방식을 적용하지 않는다.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6. 시범 해관 범위 내의 A류 및 이상의 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 xml:space="preserve">수출입 기업과 대리 세관 신고기업은 등록지 해관에 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사후 서류 교부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통관방식의 적용을 신청할 수 있다.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해관의 심사를 거쳐 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사후 서류 교부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통관방식을 허가받은 수출입 기업이 세관신고 기업에 세관신고를 위탁할 할 경우, 반드시 해관의 심사를 거쳐 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사후 서류 교부</w:t>
            </w:r>
            <w:r w:rsidRPr="00815279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통관방식을 허가받은 세관신고 기업에 위탁해야 한다. </w:t>
            </w:r>
          </w:p>
          <w:p w:rsidR="00057EBD" w:rsidRPr="00086002" w:rsidRDefault="00057EBD" w:rsidP="0008600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 w:rsidRPr="00086002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7. A류 및 이상의 기업은 등록지 해관의 동의를 거쳐 해관 및 전자세관(</w:t>
            </w:r>
            <w:r w:rsidRPr="00086002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E-customs</w:t>
            </w:r>
            <w:r w:rsidRPr="00086002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, 电子口岸)과 협의를 체결한 후 중국 전역의 시범 해관 범위 내에서 </w:t>
            </w:r>
            <w:r w:rsidRPr="00086002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“</w:t>
            </w:r>
            <w:r w:rsidRPr="00086002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사후 서류 교부</w:t>
            </w:r>
            <w:r w:rsidRPr="00086002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”</w:t>
            </w:r>
            <w:r w:rsidRPr="00086002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통관방식을 적용할 수 있다.</w:t>
            </w:r>
          </w:p>
          <w:p w:rsidR="00057EBD" w:rsidRPr="00086002" w:rsidRDefault="00057EBD" w:rsidP="0008600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 w:rsidRPr="00086002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8. </w:t>
            </w:r>
            <w:r w:rsidRPr="00086002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“</w:t>
            </w:r>
            <w:r w:rsidRPr="00086002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사후 서류 교부</w:t>
            </w:r>
            <w:r w:rsidRPr="00086002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”</w:t>
            </w:r>
            <w:r w:rsidRPr="00086002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통관방식을 적용하는 기업은 화물의 통관 허가일로부터 10일 이내에 해관에 서류 교부 및 심사 등 관련 수속을 처리해야 한다.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9. 분류 통관되는 수출입 화물의 세관 신고증 및 첨부서류에 대해 기업은 잠정 보관을 시행한다. 구체적인 사안은 별도로 공고한다.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10. 본 공고 내용은 발표일로부터 시행하며, 해관총서 공고 2009 제33호는 동시에 폐지한다.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이에 특별히 공고한다.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1527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2010년 8월 27일 </w:t>
            </w: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57EBD" w:rsidRPr="00815279" w:rsidRDefault="00057EBD" w:rsidP="00815279">
            <w:pPr>
              <w:wordWrap w:val="0"/>
              <w:overflowPunct w:val="0"/>
              <w:topLinePunct/>
              <w:autoSpaceDN w:val="0"/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57EBD" w:rsidRPr="00815279" w:rsidRDefault="00057EBD" w:rsidP="00815279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057EBD" w:rsidRPr="00815279" w:rsidRDefault="00057EBD" w:rsidP="00815279">
            <w:pPr>
              <w:snapToGrid w:val="0"/>
              <w:spacing w:line="290" w:lineRule="atLeast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057EBD" w:rsidRPr="00815279" w:rsidRDefault="00057EBD" w:rsidP="00815279">
            <w:pPr>
              <w:snapToGrid w:val="0"/>
              <w:spacing w:line="290" w:lineRule="atLeast"/>
              <w:jc w:val="center"/>
              <w:rPr>
                <w:rFonts w:ascii="SimSun" w:hAnsi="SimSun" w:hint="eastAsia"/>
                <w:b/>
                <w:sz w:val="26"/>
                <w:szCs w:val="26"/>
              </w:rPr>
            </w:pPr>
            <w:r w:rsidRPr="00815279">
              <w:rPr>
                <w:rFonts w:ascii="SimSun" w:hAnsi="SimSun" w:hint="eastAsia"/>
                <w:b/>
                <w:sz w:val="26"/>
                <w:szCs w:val="26"/>
              </w:rPr>
              <w:t>关于深化分类通关改革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jc w:val="center"/>
              <w:rPr>
                <w:rFonts w:ascii="SimSun" w:hAnsi="SimSun" w:hint="eastAsia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>海关总署公告2010年第56号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057EBD" w:rsidRPr="00815279" w:rsidRDefault="00057EBD" w:rsidP="00815279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057EBD" w:rsidRPr="00086002" w:rsidRDefault="00057EBD" w:rsidP="00086002">
            <w:pPr>
              <w:snapToGrid w:val="0"/>
              <w:spacing w:line="290" w:lineRule="atLeast"/>
              <w:ind w:firstLineChars="200" w:firstLine="468"/>
              <w:rPr>
                <w:rFonts w:ascii="SimSun" w:hAnsi="SimSun" w:hint="eastAsia"/>
                <w:spacing w:val="12"/>
                <w:szCs w:val="21"/>
              </w:rPr>
            </w:pPr>
            <w:r w:rsidRPr="00086002">
              <w:rPr>
                <w:rFonts w:ascii="SimSun" w:hAnsi="SimSun" w:hint="eastAsia"/>
                <w:spacing w:val="12"/>
                <w:szCs w:val="21"/>
              </w:rPr>
              <w:t xml:space="preserve">分类通关改革试点开展以来，海关通关作业系统运行稳定，改革成效明显，社会反响良好，达到了改革的预期目标。为进一步优化海关监管和服务，提高通关效率，海关总署决定在出口货物分类通关改革试点的基础上，在全国海关进一步深化分类通关改革工作。现将有关事项公告如下： </w:t>
            </w:r>
          </w:p>
          <w:p w:rsidR="00057EBD" w:rsidRPr="00086002" w:rsidRDefault="00057EBD" w:rsidP="00086002">
            <w:pPr>
              <w:snapToGrid w:val="0"/>
              <w:spacing w:line="290" w:lineRule="atLeast"/>
              <w:ind w:firstLineChars="200" w:firstLine="500"/>
              <w:rPr>
                <w:rFonts w:ascii="SimSun" w:hAnsi="SimSun"/>
                <w:spacing w:val="20"/>
                <w:szCs w:val="21"/>
              </w:rPr>
            </w:pPr>
            <w:r w:rsidRPr="00086002">
              <w:rPr>
                <w:rFonts w:ascii="SimSun" w:hAnsi="SimSun" w:hint="eastAsia"/>
                <w:spacing w:val="20"/>
                <w:szCs w:val="21"/>
              </w:rPr>
              <w:t>一、出口货物分类通关改革扩大到全国海关开展；进口货物分类通关改革在北京、天津、大连、上海、南京、杭州、宁波、福州、厦门、青岛、广州、深圳、拱北、黄埔、江门海关开展试点。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ind w:firstLineChars="200" w:firstLine="420"/>
              <w:rPr>
                <w:rFonts w:ascii="SimSun" w:hAnsi="SimSun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>二、适用范围：所有通过海关通关作业系统（H2000）报关的进出口货物均适用分类通关。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ind w:firstLineChars="200" w:firstLine="420"/>
              <w:rPr>
                <w:rFonts w:ascii="SimSun" w:hAnsi="SimSun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>三、分类通关是海关以企业资信状况为基础，综合商品、物流等各类要素，按照风险高低对进出口货物实施分类通关作业。</w:t>
            </w:r>
          </w:p>
          <w:p w:rsidR="00057EBD" w:rsidRPr="00086002" w:rsidRDefault="00057EBD" w:rsidP="00086002">
            <w:pPr>
              <w:snapToGrid w:val="0"/>
              <w:spacing w:line="290" w:lineRule="atLeast"/>
              <w:ind w:firstLineChars="200" w:firstLine="500"/>
              <w:rPr>
                <w:rFonts w:ascii="SimSun" w:hAnsi="SimSun"/>
                <w:spacing w:val="20"/>
                <w:szCs w:val="21"/>
              </w:rPr>
            </w:pPr>
            <w:r w:rsidRPr="00086002">
              <w:rPr>
                <w:rFonts w:ascii="SimSun" w:hAnsi="SimSun" w:hint="eastAsia"/>
                <w:spacing w:val="20"/>
                <w:szCs w:val="21"/>
              </w:rPr>
              <w:t>四、对诚信守法企业的进出口货物，海关快速放行。纸质报关单证有“事后交单”和“现场交单”两种方式供企业自主选择。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 xml:space="preserve">　　（一）“事后交单”，即经海关审核准予适用“事后交单”通关方式的企业采取“无纸报关”方式录入报关单向海关申报，经海关核准放行后，报关人在规定期限内向海关递交纸质报关单证。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 xml:space="preserve">　　（二）“现场交单”，即企业按照《中华人民共和国海关进出口货物申报管理规定》（海关总署令第103号）要求，在货物放行前向海关递交纸质报关单证。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 xml:space="preserve">　　五、涉及许可证件的进出口货物不适用“事后交单”通关方式。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 xml:space="preserve">　　六、试点海关范围内A类及以上的</w:t>
            </w:r>
            <w:r w:rsidRPr="00815279">
              <w:rPr>
                <w:rFonts w:ascii="SimSun" w:hAnsi="SimSun" w:hint="eastAsia"/>
                <w:szCs w:val="21"/>
              </w:rPr>
              <w:lastRenderedPageBreak/>
              <w:t>进出口企业和代理报关企业，可以向注册地海关申请适用“事后交单”通关方式。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 xml:space="preserve">　　经海关审核准予适用“事后交单”通关方式的进出口企业需要委托报关企业代理报关的，应当委托经海关审核准予适用“事后交单”通关方式的报关企业。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 xml:space="preserve">　　七、A类及以上企业经注册地海关同意，并与海关、电子口岸签订协议书后，可在全国试点海关范围内适用“事后交单”通关方式。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ind w:firstLineChars="200" w:firstLine="420"/>
              <w:rPr>
                <w:rFonts w:ascii="SimSun" w:hAnsi="SimSun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>八、适用“事后交单”通关方式的企业应当自货物放行之日起10日内到海关办理交单验核等相关手续。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ind w:firstLineChars="200" w:firstLine="420"/>
              <w:rPr>
                <w:rFonts w:ascii="SimSun" w:hAnsi="SimSun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>九、对分类通关的进出口货物报关单及随附单证实行企业单证暂存试点。具体事项另行公告。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ind w:firstLineChars="200" w:firstLine="420"/>
              <w:rPr>
                <w:rFonts w:ascii="SimSun" w:hAnsi="SimSun" w:hint="eastAsia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>十、本公告内容自发布之日起施行，海关总署公告2009第33号同时废止。</w:t>
            </w:r>
          </w:p>
          <w:p w:rsidR="00057EBD" w:rsidRPr="00815279" w:rsidRDefault="00057EBD" w:rsidP="00815279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057EBD" w:rsidRPr="00086002" w:rsidRDefault="00057EBD" w:rsidP="00086002">
            <w:pPr>
              <w:snapToGrid w:val="0"/>
              <w:spacing w:line="290" w:lineRule="atLeast"/>
              <w:ind w:firstLineChars="200" w:firstLine="420"/>
              <w:rPr>
                <w:rFonts w:ascii="SimSun" w:eastAsiaTheme="minorEastAsia" w:hAnsi="SimSun" w:hint="eastAsia"/>
                <w:szCs w:val="21"/>
                <w:lang w:eastAsia="ko-KR"/>
              </w:rPr>
            </w:pPr>
            <w:r w:rsidRPr="00815279">
              <w:rPr>
                <w:rFonts w:ascii="SimSun" w:hAnsi="SimSun" w:hint="eastAsia"/>
                <w:szCs w:val="21"/>
              </w:rPr>
              <w:t>特此公告。</w:t>
            </w:r>
          </w:p>
          <w:p w:rsidR="00057EBD" w:rsidRPr="00815279" w:rsidRDefault="00057EBD" w:rsidP="00086002">
            <w:pPr>
              <w:snapToGrid w:val="0"/>
              <w:spacing w:line="290" w:lineRule="atLeast"/>
              <w:ind w:firstLineChars="2500" w:firstLine="5250"/>
              <w:jc w:val="right"/>
              <w:rPr>
                <w:rFonts w:ascii="SimSun" w:hAnsi="SimSun"/>
                <w:szCs w:val="21"/>
              </w:rPr>
            </w:pPr>
            <w:r w:rsidRPr="00815279">
              <w:rPr>
                <w:rFonts w:ascii="SimSun" w:hAnsi="SimSun" w:hint="eastAsia"/>
                <w:szCs w:val="21"/>
              </w:rPr>
              <w:t xml:space="preserve">　二○一○年</w:t>
            </w:r>
            <w:smartTag w:uri="urn:schemas-microsoft-com:office:smarttags" w:element="chsdate">
              <w:smartTagPr>
                <w:attr w:name="Year" w:val="2010"/>
                <w:attr w:name="Month" w:val="8"/>
                <w:attr w:name="Day" w:val="27"/>
                <w:attr w:name="IsLunarDate" w:val="False"/>
                <w:attr w:name="IsROCDate" w:val="False"/>
              </w:smartTagPr>
              <w:r w:rsidRPr="00815279">
                <w:rPr>
                  <w:rFonts w:ascii="SimSun" w:hAnsi="SimSun" w:hint="eastAsia"/>
                  <w:szCs w:val="21"/>
                </w:rPr>
                <w:t>八月二十七日</w:t>
              </w:r>
            </w:smartTag>
          </w:p>
          <w:p w:rsidR="00057EBD" w:rsidRPr="00815279" w:rsidRDefault="00057EBD" w:rsidP="00815279">
            <w:pPr>
              <w:snapToGrid w:val="0"/>
              <w:spacing w:line="290" w:lineRule="atLeast"/>
              <w:rPr>
                <w:rFonts w:ascii="SimSun" w:hAnsi="SimSun"/>
                <w:szCs w:val="21"/>
                <w:lang w:eastAsia="ko-KR"/>
              </w:rPr>
            </w:pPr>
          </w:p>
        </w:tc>
      </w:tr>
    </w:tbl>
    <w:p w:rsidR="00973E99" w:rsidRDefault="00973E99">
      <w:pPr>
        <w:rPr>
          <w:lang w:eastAsia="ko-KR"/>
        </w:rPr>
      </w:pPr>
    </w:p>
    <w:sectPr w:rsidR="00973E99" w:rsidSect="00057EBD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E99" w:rsidRDefault="00973E99" w:rsidP="00057EBD">
      <w:r>
        <w:separator/>
      </w:r>
    </w:p>
  </w:endnote>
  <w:endnote w:type="continuationSeparator" w:id="1">
    <w:p w:rsidR="00973E99" w:rsidRDefault="00973E99" w:rsidP="00057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E99" w:rsidRDefault="00973E99" w:rsidP="00057EBD">
      <w:r>
        <w:separator/>
      </w:r>
    </w:p>
  </w:footnote>
  <w:footnote w:type="continuationSeparator" w:id="1">
    <w:p w:rsidR="00973E99" w:rsidRDefault="00973E99" w:rsidP="00057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EBD"/>
    <w:rsid w:val="00057EBD"/>
    <w:rsid w:val="00086002"/>
    <w:rsid w:val="00540D2D"/>
    <w:rsid w:val="00815279"/>
    <w:rsid w:val="0097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BD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EBD"/>
    <w:pPr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57EBD"/>
  </w:style>
  <w:style w:type="paragraph" w:styleId="a4">
    <w:name w:val="footer"/>
    <w:basedOn w:val="a"/>
    <w:link w:val="Char0"/>
    <w:uiPriority w:val="99"/>
    <w:semiHidden/>
    <w:unhideWhenUsed/>
    <w:rsid w:val="00057EBD"/>
    <w:pPr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semiHidden/>
    <w:rsid w:val="00057EBD"/>
  </w:style>
  <w:style w:type="table" w:styleId="a5">
    <w:name w:val="Table Grid"/>
    <w:basedOn w:val="a1"/>
    <w:uiPriority w:val="59"/>
    <w:rsid w:val="00057E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dcterms:created xsi:type="dcterms:W3CDTF">2010-09-09T05:20:00Z</dcterms:created>
  <dcterms:modified xsi:type="dcterms:W3CDTF">2010-09-09T05:40:00Z</dcterms:modified>
</cp:coreProperties>
</file>