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1E" w:rsidRPr="00B30B1E" w:rsidRDefault="00B30B1E" w:rsidP="00B30B1E">
      <w:pPr>
        <w:wordWrap/>
        <w:spacing w:line="360" w:lineRule="auto"/>
        <w:jc w:val="center"/>
        <w:rPr>
          <w:rFonts w:ascii="HY견고딕" w:eastAsia="HY견고딕" w:hAnsi="한컴바탕" w:cs="한컴바탕" w:hint="eastAsia"/>
          <w:b/>
          <w:sz w:val="30"/>
          <w:szCs w:val="30"/>
        </w:rPr>
      </w:pPr>
      <w:r w:rsidRPr="00B30B1E">
        <w:rPr>
          <w:rFonts w:ascii="HY견고딕" w:eastAsia="HY견고딕" w:hAnsi="한컴바탕" w:cs="한컴바탕" w:hint="eastAsia"/>
          <w:b/>
          <w:sz w:val="30"/>
          <w:szCs w:val="30"/>
        </w:rPr>
        <w:t xml:space="preserve">2012년 중국 </w:t>
      </w:r>
      <w:proofErr w:type="spellStart"/>
      <w:r w:rsidRPr="00B30B1E">
        <w:rPr>
          <w:rFonts w:ascii="HY견고딕" w:eastAsia="HY견고딕" w:hAnsi="한컴바탕" w:cs="한컴바탕" w:hint="eastAsia"/>
          <w:b/>
          <w:sz w:val="30"/>
          <w:szCs w:val="30"/>
        </w:rPr>
        <w:t>도소매업</w:t>
      </w:r>
      <w:proofErr w:type="spellEnd"/>
      <w:r w:rsidRPr="00B30B1E">
        <w:rPr>
          <w:rFonts w:ascii="HY견고딕" w:eastAsia="HY견고딕" w:hAnsi="한컴바탕" w:cs="한컴바탕" w:hint="eastAsia"/>
          <w:b/>
          <w:sz w:val="30"/>
          <w:szCs w:val="30"/>
        </w:rPr>
        <w:t xml:space="preserve"> 발전 동향과 주요 특징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/>
          <w:sz w:val="22"/>
        </w:rPr>
        <w:t xml:space="preserve">&lt;개요&gt; 2001년부터 2010년까지 중국 사회소비재 소매총액은 연평균 14.9% 증가하여 2011년 소매시장 규모는 2001년보다 거의 4배로 성장하였다. 2011년 중국 최종 소비의 경제 성장기여도는 2010년보다 12.4%p 상승해 55.5%에 달하고, 도소매∙숙박요식업 부가가치의 국내 총생산액 비중은 2005년의 9.8%에서 2010년 10.9%로 상승했다. 그러나 2012년, &lt;국내무역발전 12.5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규획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&gt;이 정식 발표되고 내수 확대를 위한 정책적 조치가 잇따르면서 중국 주민들의 소비능력 제고와 수요 증대에 힘을 쏟았음에도 불구하고, 소매업은 전반적인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둔화세를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나타냈고 다수의 기업들은 전년에 비해 초라한 매출 실적을 거두었다. 온라인 소비시장의 고속 성장과 치열한 가격 경쟁, 떨어질 줄 모르는 임금과 임대료 등 원가 상승으로 인해 다수의 슈퍼마켓, 백화점, 가정용 건자재 등 소매기업이 문을 닫았다. 이에 업계는 중국 소매업의 고속성장 시대가 막을 내리고, 불확실성 위험요인이 커지고 있다고 진단하고 있다.  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/>
          <w:sz w:val="22"/>
        </w:rPr>
        <w:t> 중국 소비시장의 성장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2012년 GDP가 전년대비 7.8% 성장한 가운데, 중국 사회소비재소매총액은 207,167억 위안으로 전년대비 14.3% 증가(실질증가율 13.5%)함. 매출액 일정규모 이상 기업 의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소매액은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101,129억 위안으로 14.6% 증가함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도시의 소매총액은 179,318억 위안으로 14.3% 증가했고, 농촌은 27,849억 위안으로 14.5% 증가함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소비 형태별로는 식품 소매업이 23,283억 위안이고, 제품 소매업은 183,884억 위안으로 각각 13.6%, 14.4% 증가함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제품 소매업 중 일정규모 이상 기업의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소매액은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93,330억 위안으로 14.8% 증가했으며, 그 중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자동차류의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매출이 7.3% 증가, 가구류는 27% 증가, 가정용 전자기기 및 음향기자재류가 7.2% 증가함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상무부가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중국내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3,000개의 주요 소매기업을 대상으로 2012년 경영 실태를 조사한 </w:t>
      </w:r>
      <w:r w:rsidRPr="00B30B1E">
        <w:rPr>
          <w:rFonts w:ascii="한컴바탕" w:eastAsia="한컴바탕" w:hAnsi="한컴바탕" w:cs="한컴바탕"/>
          <w:sz w:val="22"/>
        </w:rPr>
        <w:lastRenderedPageBreak/>
        <w:t>결과, 매출액은 8.3% 증가하여 대체적으로 안정된 성장을 보임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도시와 농촌의 소비시장이 점진적인 증가세를 보이는 가운데, 특히 중서부지역의 소비가 10% 이상의 매우 빠른 증가세를 보인 것으로 나타남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또 식품과 금은보석 등에 대한 수요도 소폭 상승했는데, 3,000개의 소매기업 중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식품류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매출액은 11.3% 증가했고, 금은보석은 11.4% 증가해 전년 증가율보다 6.6%p, 26%p 하락함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통신기자재와 의료헬스에 대한 소비는 10.5%, 11.5%의 증가율을 보여 전년도와 비슷한 수준을 유지했고, 자동차 매출은 7.4% 증가에 그침. 가전제품과 체육용품, 교육용품 매출액은 모두 감소함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3,000개 기업 중 백화점 매출액은 10.3% 증가했고, 슈퍼마켓은 8.7%, 전문매장은 5.3% 증가함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○</w:t>
      </w:r>
      <w:r w:rsidRPr="00B30B1E">
        <w:rPr>
          <w:rFonts w:ascii="한컴바탕" w:eastAsia="한컴바탕" w:hAnsi="한컴바탕" w:cs="한컴바탕"/>
          <w:sz w:val="22"/>
        </w:rPr>
        <w:t xml:space="preserve"> 도시와 농촌 소비력 향상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소득의 안정적인 증가가 소비시장의 성장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유지을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견인하고 있음. 도시 주민의 일인당 연간소득은 26,959위안이고 가처분소득은 24,565위안으로 전년대비 12.6% 증가함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가처분소득에 따라 5등급으로 나누면 저소득층 10,354위안, 중하소득층 16,761위안,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중소득층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22,419위안, 중상소득층 29,814위안, 고소득층 51,456위안으로 저소득층과 고소득층의 격차가 크게 나타남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농촌 주민은 일인당 순소득이 9,717위안으로 13.5% 증가함. 소득 계층별로는 저소득층 2,316위안, 중하소득층 4,807위안,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중소득층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7,041위안, 중상소득층 10,142위안, 고소득층 19,009위안으로 나타남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대만 Fu Jen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카톨릭대학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상업연구소장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셰방창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(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谢邦昌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)은 최근 대만과 중국 내륙지역 도시소비력에 대한 조사보고를 발표, 2013년 내륙지역 도시소비력이 14.7조 위안에 달할 것으로 예측함(대만은 1.2조 위안으로 예상) 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조사에 따르면 2013년 내륙지역 도시소비력이 2012년에 비해 약 1.5조 위안 증가할 것으로 내다보고, 베이징, 상하이,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광저우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등 1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선도시는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물가와 임금 수준이 이미 대만의 일부 도시를 초월했다고 지적함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도시소비력이 높은 10대 도시로 상하이(</w:t>
      </w:r>
      <w:r w:rsidRPr="00B30B1E">
        <w:rPr>
          <w:rFonts w:ascii="한컴바탕" w:eastAsia="한컴바탕" w:hAnsi="한컴바탕" w:cs="한컴바탕" w:hint="eastAsia"/>
          <w:sz w:val="22"/>
        </w:rPr>
        <w:t>上海</w:t>
      </w:r>
      <w:r w:rsidRPr="00B30B1E">
        <w:rPr>
          <w:rFonts w:ascii="한컴바탕" w:eastAsia="한컴바탕" w:hAnsi="한컴바탕" w:cs="한컴바탕"/>
          <w:sz w:val="22"/>
        </w:rPr>
        <w:t>), 베이징(</w:t>
      </w:r>
      <w:r w:rsidRPr="00B30B1E">
        <w:rPr>
          <w:rFonts w:ascii="한컴바탕" w:eastAsia="한컴바탕" w:hAnsi="한컴바탕" w:cs="한컴바탕" w:hint="eastAsia"/>
          <w:sz w:val="22"/>
        </w:rPr>
        <w:t>北京</w:t>
      </w:r>
      <w:r w:rsidRPr="00B30B1E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광저우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(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广州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), 텐진(</w:t>
      </w:r>
      <w:r w:rsidRPr="00B30B1E">
        <w:rPr>
          <w:rFonts w:ascii="한컴바탕" w:eastAsia="한컴바탕" w:hAnsi="한컴바탕" w:cs="한컴바탕" w:hint="eastAsia"/>
          <w:sz w:val="22"/>
        </w:rPr>
        <w:t>天津</w:t>
      </w:r>
      <w:r w:rsidRPr="00B30B1E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충칭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(</w:t>
      </w:r>
      <w:r w:rsidRPr="00B30B1E">
        <w:rPr>
          <w:rFonts w:ascii="한컴바탕" w:eastAsia="한컴바탕" w:hAnsi="한컴바탕" w:cs="한컴바탕" w:hint="eastAsia"/>
          <w:sz w:val="22"/>
        </w:rPr>
        <w:t>重庆</w:t>
      </w:r>
      <w:r w:rsidRPr="00B30B1E">
        <w:rPr>
          <w:rFonts w:ascii="한컴바탕" w:eastAsia="한컴바탕" w:hAnsi="한컴바탕" w:cs="한컴바탕"/>
          <w:sz w:val="22"/>
        </w:rPr>
        <w:t>), 선전(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深圳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청두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(</w:t>
      </w:r>
      <w:r w:rsidRPr="00B30B1E">
        <w:rPr>
          <w:rFonts w:ascii="한컴바탕" w:eastAsia="한컴바탕" w:hAnsi="한컴바탕" w:cs="한컴바탕" w:hint="eastAsia"/>
          <w:sz w:val="22"/>
        </w:rPr>
        <w:t>成都</w:t>
      </w:r>
      <w:r w:rsidRPr="00B30B1E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칭다오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(</w:t>
      </w:r>
      <w:r w:rsidRPr="00B30B1E">
        <w:rPr>
          <w:rFonts w:ascii="한컴바탕" w:eastAsia="한컴바탕" w:hAnsi="한컴바탕" w:cs="한컴바탕" w:hint="eastAsia"/>
          <w:sz w:val="22"/>
        </w:rPr>
        <w:t>青岛</w:t>
      </w:r>
      <w:r w:rsidRPr="00B30B1E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쑤저우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(</w:t>
      </w:r>
      <w:r w:rsidRPr="00B30B1E">
        <w:rPr>
          <w:rFonts w:ascii="한컴바탕" w:eastAsia="한컴바탕" w:hAnsi="한컴바탕" w:cs="한컴바탕" w:hint="eastAsia"/>
          <w:sz w:val="22"/>
        </w:rPr>
        <w:t>苏州</w:t>
      </w:r>
      <w:r w:rsidRPr="00B30B1E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우한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(</w:t>
      </w:r>
      <w:r w:rsidRPr="00B30B1E">
        <w:rPr>
          <w:rFonts w:ascii="한컴바탕" w:eastAsia="한컴바탕" w:hAnsi="한컴바탕" w:cs="한컴바탕" w:hint="eastAsia"/>
          <w:sz w:val="22"/>
        </w:rPr>
        <w:t>武汉</w:t>
      </w:r>
      <w:r w:rsidRPr="00B30B1E">
        <w:rPr>
          <w:rFonts w:ascii="한컴바탕" w:eastAsia="한컴바탕" w:hAnsi="한컴바탕" w:cs="한컴바탕"/>
          <w:sz w:val="22"/>
        </w:rPr>
        <w:t>)을 꼽음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/>
          <w:sz w:val="22"/>
        </w:rPr>
        <w:t> 유통업 관련 정책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2012년 유통업 활성화를 위한 중국 정부의 주요 정책으로 ‘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영업세의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부가가치세 전환’, ‘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유통비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절감을 위한 10대 조치’, ‘가전하향 정책’을 꼽을 수 있음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그 외, &lt;국내무역발전 12.5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규획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&gt;에서는 2015년 사회소비재 소매총액 32조 위안, 연평균 성장률 15% 달성과 농촌 유통망 개선,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체인형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마트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보급 확대, 일괄 배송체계 구축, 전자상거래 규모 연평균 증가율 30% 이상 달성 등을 목표로 내세움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○</w:t>
      </w:r>
      <w:r w:rsidRPr="00B30B1E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영업세의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부가가치세 전환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영업세의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부가가치세 전환은 기존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영업세에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해당하던 납세품목을 그 상품과 서비스의 부가가치에 대한 세액만 납부하도록 함으로써 중복 납세를 피하고 기업의 세수 부담을 줄여주는 정책임 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베이징시는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이 정책으로 인해 올해 시(</w:t>
      </w:r>
      <w:r w:rsidRPr="00B30B1E">
        <w:rPr>
          <w:rFonts w:ascii="한컴바탕" w:eastAsia="한컴바탕" w:hAnsi="한컴바탕" w:cs="한컴바탕" w:hint="eastAsia"/>
          <w:sz w:val="22"/>
        </w:rPr>
        <w:t>市</w:t>
      </w:r>
      <w:r w:rsidRPr="00B30B1E">
        <w:rPr>
          <w:rFonts w:ascii="한컴바탕" w:eastAsia="한컴바탕" w:hAnsi="한컴바탕" w:cs="한컴바탕"/>
          <w:sz w:val="22"/>
        </w:rPr>
        <w:t xml:space="preserve">) 재정수입이 120억 위안 감소할 것으로 예상하고 있음  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○</w:t>
      </w:r>
      <w:r w:rsidRPr="00B30B1E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유통비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절감 조치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국무원은 지난해 8월 &lt;유통체제 개혁을 통한 유통산업 발전 촉진에 대한 국무원의 의견&gt; 발표하고, 12월 26일 열린 국무원상무회의에서 유통비용 절감과 유통효율성 제고를 위한 정책 10조항을 내놓음 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①</w:t>
      </w:r>
      <w:r w:rsidRPr="00B30B1E">
        <w:rPr>
          <w:rFonts w:ascii="한컴바탕" w:eastAsia="한컴바탕" w:hAnsi="한컴바탕" w:cs="한컴바탕"/>
          <w:sz w:val="22"/>
        </w:rPr>
        <w:t xml:space="preserve"> 농산물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생산ㆍ유통의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전기료와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수도비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인하. 농산물 도매시장과 무역시장의 전기, 가스, 난방 등의 요금과 농산물 콜드체인 저장창고의 전기료를 공업단가와 동일화시킴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②</w:t>
      </w:r>
      <w:r w:rsidRPr="00B30B1E">
        <w:rPr>
          <w:rFonts w:ascii="한컴바탕" w:eastAsia="한컴바탕" w:hAnsi="한컴바탕" w:cs="한컴바탕"/>
          <w:sz w:val="22"/>
        </w:rPr>
        <w:t xml:space="preserve"> 농산물 시장 수수료 인하 및 표준화, 공시제도 전면 시행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③</w:t>
      </w:r>
      <w:r w:rsidRPr="00B30B1E">
        <w:rPr>
          <w:rFonts w:ascii="한컴바탕" w:eastAsia="한컴바탕" w:hAnsi="한컴바탕" w:cs="한컴바탕"/>
          <w:sz w:val="22"/>
        </w:rPr>
        <w:t xml:space="preserve"> 대형 소매기업의 공급상에 대한 위법적 수수료 요구 및 악성 행위 차단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④</w:t>
      </w:r>
      <w:r w:rsidRPr="00B30B1E">
        <w:rPr>
          <w:rFonts w:ascii="한컴바탕" w:eastAsia="한컴바탕" w:hAnsi="한컴바탕" w:cs="한컴바탕"/>
          <w:sz w:val="22"/>
        </w:rPr>
        <w:t xml:space="preserve"> 신선 농산물 운송 ‘녹색통로(도로 통행료 감면)‘ 및 유료도로 정보공개 실시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⑤</w:t>
      </w:r>
      <w:r w:rsidRPr="00B30B1E">
        <w:rPr>
          <w:rFonts w:ascii="한컴바탕" w:eastAsia="한컴바탕" w:hAnsi="한컴바탕" w:cs="한컴바탕"/>
          <w:sz w:val="22"/>
        </w:rPr>
        <w:t xml:space="preserve"> 공공사업 관련 서비스 수수료(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검사비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대리비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, 유지보수비 등) 감독 강화, 수수료 표준 공시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⑥</w:t>
      </w:r>
      <w:r w:rsidRPr="00B30B1E">
        <w:rPr>
          <w:rFonts w:ascii="한컴바탕" w:eastAsia="한컴바탕" w:hAnsi="한컴바탕" w:cs="한컴바탕"/>
          <w:sz w:val="22"/>
        </w:rPr>
        <w:t xml:space="preserve"> 가격 감독검사 및 반독점 조사 강화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⑦</w:t>
      </w:r>
      <w:r w:rsidRPr="00B30B1E">
        <w:rPr>
          <w:rFonts w:ascii="한컴바탕" w:eastAsia="한컴바탕" w:hAnsi="한컴바탕" w:cs="한컴바탕"/>
          <w:sz w:val="22"/>
        </w:rPr>
        <w:t xml:space="preserve"> 농산물 매입부가가치세 심사 공제 시범시행, 채소 유통단계의 부가가치세 면세 정책을 육류, 계란 제품으로 확대, 2013년부터 3년간 도심 농산물 시장의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토지사용세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및 임대 소득세 면제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⑧</w:t>
      </w:r>
      <w:r w:rsidRPr="00B30B1E">
        <w:rPr>
          <w:rFonts w:ascii="한컴바탕" w:eastAsia="한컴바탕" w:hAnsi="한컴바탕" w:cs="한컴바탕"/>
          <w:sz w:val="22"/>
        </w:rPr>
        <w:t xml:space="preserve"> 농산물 시장과 주민생활 편의점 용지 우선 확보, 각 지역별 새벽시장, 저녁시장, 주말시장 무료 개장 장려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⑨</w:t>
      </w:r>
      <w:r w:rsidRPr="00B30B1E">
        <w:rPr>
          <w:rFonts w:ascii="한컴바탕" w:eastAsia="한컴바탕" w:hAnsi="한컴바탕" w:cs="한컴바탕"/>
          <w:sz w:val="22"/>
        </w:rPr>
        <w:t xml:space="preserve"> 원활한 물류배송을 위한 교통운수 관련법 집행 강화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⑩</w:t>
      </w:r>
      <w:r w:rsidRPr="00B30B1E">
        <w:rPr>
          <w:rFonts w:ascii="한컴바탕" w:eastAsia="한컴바탕" w:hAnsi="한컴바탕" w:cs="한컴바탕"/>
          <w:sz w:val="22"/>
        </w:rPr>
        <w:t xml:space="preserve"> 유통비용 조사 통계제도 구축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○</w:t>
      </w:r>
      <w:r w:rsidRPr="00B30B1E">
        <w:rPr>
          <w:rFonts w:ascii="한컴바탕" w:eastAsia="한컴바탕" w:hAnsi="한컴바탕" w:cs="한컴바탕"/>
          <w:sz w:val="22"/>
        </w:rPr>
        <w:t xml:space="preserve"> 가전하향(</w:t>
      </w:r>
      <w:r w:rsidRPr="00B30B1E">
        <w:rPr>
          <w:rFonts w:ascii="한컴바탕" w:eastAsia="한컴바탕" w:hAnsi="한컴바탕" w:cs="한컴바탕" w:hint="eastAsia"/>
          <w:sz w:val="22"/>
        </w:rPr>
        <w:t>家电下乡</w:t>
      </w:r>
      <w:r w:rsidRPr="00B30B1E">
        <w:rPr>
          <w:rFonts w:ascii="한컴바탕" w:eastAsia="한컴바탕" w:hAnsi="한컴바탕" w:cs="한컴바탕"/>
          <w:sz w:val="22"/>
        </w:rPr>
        <w:t>)정책의 효과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상무부에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따르면 2012년 전국(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산둥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허난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쓰촨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칭다오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제외) 가전하향 정책 대상 제품 판매량은 7991.3만대로 총 2145.2억 위안의 매출액을 올림. 판매량과 매출액은 각각 전년대비 22.6%, 18.8% 증가함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지역별로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안후이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허베이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장쑤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3개 성의 매출액이 가장 많았고, 3개 성의 총 매출액이 전체의 33%를 차지함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제품별로는 TV, 냉장고, 에어컨, 온수기가 주요 제품으로 모두 매출액 3백억 위안 이상을 기록하였고, 4대 제품의 총 매출액 비중이 83.3%에 달함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매출액 기준으로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하이얼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(</w:t>
      </w:r>
      <w:r w:rsidRPr="00B30B1E">
        <w:rPr>
          <w:rFonts w:ascii="한컴바탕" w:eastAsia="한컴바탕" w:hAnsi="한컴바탕" w:cs="한컴바탕" w:hint="eastAsia"/>
          <w:sz w:val="22"/>
        </w:rPr>
        <w:t>海尔</w:t>
      </w:r>
      <w:r w:rsidRPr="00B30B1E">
        <w:rPr>
          <w:rFonts w:ascii="한컴바탕" w:eastAsia="한컴바탕" w:hAnsi="한컴바탕" w:cs="한컴바탕"/>
          <w:sz w:val="22"/>
        </w:rPr>
        <w:t>, 250.5억 위안)과 거리(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格力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, 189.8억 위안), 하이신(</w:t>
      </w:r>
      <w:r w:rsidRPr="00B30B1E">
        <w:rPr>
          <w:rFonts w:ascii="한컴바탕" w:eastAsia="한컴바탕" w:hAnsi="한컴바탕" w:cs="한컴바탕" w:hint="eastAsia"/>
          <w:sz w:val="22"/>
        </w:rPr>
        <w:t>海信</w:t>
      </w:r>
      <w:r w:rsidRPr="00B30B1E">
        <w:rPr>
          <w:rFonts w:ascii="한컴바탕" w:eastAsia="한컴바탕" w:hAnsi="한컴바탕" w:cs="한컴바탕"/>
          <w:sz w:val="22"/>
        </w:rPr>
        <w:t xml:space="preserve">, 172.1억 위안)이 1~3위를 차지하였고, 3대 기업이 총 매출액의 28.5%를 차지함  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/>
          <w:sz w:val="22"/>
        </w:rPr>
        <w:t> 주요 특징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○</w:t>
      </w:r>
      <w:r w:rsidRPr="00B30B1E">
        <w:rPr>
          <w:rFonts w:ascii="한컴바탕" w:eastAsia="한컴바탕" w:hAnsi="한컴바탕" w:cs="한컴바탕"/>
          <w:sz w:val="22"/>
        </w:rPr>
        <w:t xml:space="preserve"> 온라인 쇼핑시장 규모 1조 위안 돌파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2012년 온라인 소매시장은 여전히 고속 성장을 이어감. 시장조사기관 이관(</w:t>
      </w:r>
      <w:r w:rsidRPr="00B30B1E">
        <w:rPr>
          <w:rFonts w:ascii="한컴바탕" w:eastAsia="한컴바탕" w:hAnsi="한컴바탕" w:cs="한컴바탕" w:hint="eastAsia"/>
          <w:sz w:val="22"/>
        </w:rPr>
        <w:t>易观</w:t>
      </w:r>
      <w:r w:rsidRPr="00B30B1E">
        <w:rPr>
          <w:rFonts w:ascii="한컴바탕" w:eastAsia="한컴바탕" w:hAnsi="한컴바탕" w:cs="한컴바탕"/>
          <w:sz w:val="22"/>
        </w:rPr>
        <w:t>)은 2012년이 중국 온라인 소매시장의 경쟁이 백열화된 한 해라고 평가함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이관(</w:t>
      </w:r>
      <w:r w:rsidRPr="00B30B1E">
        <w:rPr>
          <w:rFonts w:ascii="한컴바탕" w:eastAsia="한컴바탕" w:hAnsi="한컴바탕" w:cs="한컴바탕" w:hint="eastAsia"/>
          <w:sz w:val="22"/>
        </w:rPr>
        <w:t>易观</w:t>
      </w:r>
      <w:r w:rsidRPr="00B30B1E">
        <w:rPr>
          <w:rFonts w:ascii="한컴바탕" w:eastAsia="한컴바탕" w:hAnsi="한컴바탕" w:cs="한컴바탕"/>
          <w:sz w:val="22"/>
        </w:rPr>
        <w:t>)은 2012년 온라인 소매시장 규모가 2011년보다 53% 증가해 최초로 1조 위안을 돌파하고, 특히 B2C시장 성장률은 약 95.8%에 달해 C2C시장 증가속도를 크게 상회할 것으로 분석함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중국상업연합회(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中国商业联合会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)는 사회소비재 소매총액에서 온라인 소매가 차지하는 비중이 2011년 4.3%에서 2013년에는 6%까지 확대될 것으로 전망함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○</w:t>
      </w:r>
      <w:r w:rsidRPr="00B30B1E">
        <w:rPr>
          <w:rFonts w:ascii="한컴바탕" w:eastAsia="한컴바탕" w:hAnsi="한컴바탕" w:cs="한컴바탕"/>
          <w:sz w:val="22"/>
        </w:rPr>
        <w:t xml:space="preserve"> 외국계 유통기업의 중국시장 철수 잇따라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작년 한 해 동안 중국에 진출한 외국계 유통기업의 잇따른 철수가 두드러지게 나타남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세계 최대 가정용 건축자재 판매업체인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homedepot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가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중국내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모든 점포의 문을 닫고 중국시장에서 철수하였고, 그 외 Tesco,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월마트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까르푸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등 대형 유통업체와 이온(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Aeon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Parkson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, 신세계(홍콩) 등 백화점도 문을 닫은 점포가 적지 않음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2010년 11월 중국에 진출한 독일 가전제품 판매점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미디어막트는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당초 2015년까지 중국 전역에 100개 이상 점포를 열겠다는 포부를 밝혔지만, 온라인 쇼핑몰이 주도하는 치열한 가격 경쟁을 버티지 못하고 올해 초 철수를 결정함 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가격 경쟁과 경영적자뿐만 아니라 1선, 2선 도시에서 급속히 상승한 임대료도 무시할 수 없는 요인임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보통 대형 상점의 경우 임대계약이 10년 정도인데 2000년부터 대거 진출한 외국기업들의 임대 만료기간이 다가오면서 지난 10년간 2~3배로 상승한 임대료 때문에 </w:t>
      </w:r>
      <w:r w:rsidRPr="00B30B1E">
        <w:rPr>
          <w:rFonts w:ascii="한컴바탕" w:eastAsia="한컴바탕" w:hAnsi="한컴바탕" w:cs="한컴바탕"/>
          <w:sz w:val="22"/>
        </w:rPr>
        <w:lastRenderedPageBreak/>
        <w:t xml:space="preserve">중국시장을 포기하는 기업이 적지 않음 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그밖에 일본계 편의점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세븐일레븐은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작년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광저우에서만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약 20개 점포의 문을 닫았고,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리닝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(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李宁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),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피커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(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匹克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) 등 스포츠용품 로컬브랜드도 작년 한 해 동안 1,000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여개의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매장을 철수함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로컬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체인마트인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 </w:t>
      </w:r>
      <w:proofErr w:type="spellStart"/>
      <w:r w:rsidRPr="00B30B1E">
        <w:rPr>
          <w:rFonts w:ascii="한컴바탕" w:eastAsia="한컴바탕" w:hAnsi="한컴바탕" w:cs="한컴바탕"/>
          <w:sz w:val="22"/>
        </w:rPr>
        <w:t>런런러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(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人人乐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)도 2012년 1월~9월 7,940만 위안의 적자를 보고 8개 점포의 문을 닫음 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 w:hint="eastAsia"/>
          <w:sz w:val="22"/>
        </w:rPr>
        <w:t>–</w:t>
      </w:r>
      <w:r w:rsidRPr="00B30B1E">
        <w:rPr>
          <w:rFonts w:ascii="한컴바탕" w:eastAsia="한컴바탕" w:hAnsi="한컴바탕" w:cs="한컴바탕"/>
          <w:sz w:val="22"/>
        </w:rPr>
        <w:t xml:space="preserve"> 중국체인경영협회와 Deloitte가 공동 조사한 바에 따르면 체인 소매기업의 노동원가가 26% 상승하였고, 임대료는 약 10% 상승하는 등 원가 상승이 불가피한 상황으로 소매업계에 위험요소가 커지고 있다고 분석함 </w:t>
      </w: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p w:rsidR="00B30B1E" w:rsidRPr="00B30B1E" w:rsidRDefault="00B30B1E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  <w:r w:rsidRPr="00B30B1E">
        <w:rPr>
          <w:rFonts w:ascii="한컴바탕" w:eastAsia="한컴바탕" w:hAnsi="한컴바탕" w:cs="한컴바탕"/>
          <w:sz w:val="22"/>
        </w:rPr>
        <w:t xml:space="preserve">*출처: 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商务部流通产业促进中心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(lczx.mofcom.gov.cn), 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中国连锁经营协会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(www.ccfa.org.cn), 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中国流通产业网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(www.e-circulation.cn), 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联商网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(www.linkshop.com.cn), </w:t>
      </w:r>
      <w:r w:rsidRPr="00B30B1E">
        <w:rPr>
          <w:rFonts w:ascii="한컴바탕" w:eastAsia="한컴바탕" w:hAnsi="한컴바탕" w:cs="한컴바탕" w:hint="eastAsia"/>
          <w:sz w:val="22"/>
        </w:rPr>
        <w:t>新京报</w:t>
      </w:r>
      <w:r w:rsidRPr="00B30B1E">
        <w:rPr>
          <w:rFonts w:ascii="한컴바탕" w:eastAsia="한컴바탕" w:hAnsi="한컴바탕" w:cs="한컴바탕"/>
          <w:sz w:val="22"/>
        </w:rPr>
        <w:t xml:space="preserve">, 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人民网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(www.people.com.cn), </w:t>
      </w:r>
      <w:r w:rsidRPr="00B30B1E">
        <w:rPr>
          <w:rFonts w:ascii="한컴바탕" w:eastAsia="한컴바탕" w:hAnsi="한컴바탕" w:cs="한컴바탕" w:hint="eastAsia"/>
          <w:sz w:val="22"/>
        </w:rPr>
        <w:t>国家统计局</w:t>
      </w:r>
      <w:r w:rsidRPr="00B30B1E">
        <w:rPr>
          <w:rFonts w:ascii="한컴바탕" w:eastAsia="한컴바탕" w:hAnsi="한컴바탕" w:cs="한컴바탕"/>
          <w:sz w:val="22"/>
        </w:rPr>
        <w:t xml:space="preserve">(www.stats.gov.cn), 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中国新闻网</w:t>
      </w:r>
      <w:proofErr w:type="spellEnd"/>
      <w:r w:rsidRPr="00B30B1E">
        <w:rPr>
          <w:rFonts w:ascii="한컴바탕" w:eastAsia="한컴바탕" w:hAnsi="한컴바탕" w:cs="한컴바탕"/>
          <w:sz w:val="22"/>
        </w:rPr>
        <w:t xml:space="preserve">(www.chinanews.com), </w:t>
      </w:r>
      <w:proofErr w:type="spellStart"/>
      <w:r w:rsidRPr="00B30B1E">
        <w:rPr>
          <w:rFonts w:ascii="한컴바탕" w:eastAsia="한컴바탕" w:hAnsi="한컴바탕" w:cs="한컴바탕" w:hint="eastAsia"/>
          <w:sz w:val="22"/>
        </w:rPr>
        <w:t>和讯网</w:t>
      </w:r>
      <w:proofErr w:type="spellEnd"/>
      <w:r w:rsidRPr="00B30B1E">
        <w:rPr>
          <w:rFonts w:ascii="한컴바탕" w:eastAsia="한컴바탕" w:hAnsi="한컴바탕" w:cs="한컴바탕"/>
          <w:sz w:val="22"/>
        </w:rPr>
        <w:t>(www.hexun.com)</w:t>
      </w:r>
    </w:p>
    <w:p w:rsidR="00D316CD" w:rsidRPr="00B30B1E" w:rsidRDefault="00D316CD" w:rsidP="00B30B1E">
      <w:pPr>
        <w:wordWrap/>
        <w:spacing w:line="360" w:lineRule="auto"/>
        <w:rPr>
          <w:rFonts w:ascii="한컴바탕" w:eastAsia="한컴바탕" w:hAnsi="한컴바탕" w:cs="한컴바탕"/>
          <w:sz w:val="22"/>
        </w:rPr>
      </w:pPr>
    </w:p>
    <w:sectPr w:rsidR="00D316CD" w:rsidRPr="00B30B1E" w:rsidSect="00D316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0B1E"/>
    <w:rsid w:val="0000046A"/>
    <w:rsid w:val="00000B66"/>
    <w:rsid w:val="0001086D"/>
    <w:rsid w:val="00011D6C"/>
    <w:rsid w:val="00011F85"/>
    <w:rsid w:val="000155EB"/>
    <w:rsid w:val="00020629"/>
    <w:rsid w:val="00020828"/>
    <w:rsid w:val="00022755"/>
    <w:rsid w:val="00023531"/>
    <w:rsid w:val="000247EF"/>
    <w:rsid w:val="00026E39"/>
    <w:rsid w:val="00030360"/>
    <w:rsid w:val="00040F3E"/>
    <w:rsid w:val="000455FA"/>
    <w:rsid w:val="00053138"/>
    <w:rsid w:val="00054B6F"/>
    <w:rsid w:val="00054D7D"/>
    <w:rsid w:val="00057A55"/>
    <w:rsid w:val="00063894"/>
    <w:rsid w:val="00066E52"/>
    <w:rsid w:val="000672C3"/>
    <w:rsid w:val="00091861"/>
    <w:rsid w:val="0009559D"/>
    <w:rsid w:val="00096DB7"/>
    <w:rsid w:val="000A3607"/>
    <w:rsid w:val="000A4BDF"/>
    <w:rsid w:val="000A6AD9"/>
    <w:rsid w:val="000B04AB"/>
    <w:rsid w:val="000B2F5D"/>
    <w:rsid w:val="000B5BA2"/>
    <w:rsid w:val="000C0DC0"/>
    <w:rsid w:val="000C1338"/>
    <w:rsid w:val="000C174F"/>
    <w:rsid w:val="000C17E9"/>
    <w:rsid w:val="000C60A9"/>
    <w:rsid w:val="000C6498"/>
    <w:rsid w:val="000D151E"/>
    <w:rsid w:val="000D19AE"/>
    <w:rsid w:val="000D4643"/>
    <w:rsid w:val="000E0177"/>
    <w:rsid w:val="000E14C3"/>
    <w:rsid w:val="000E5D3B"/>
    <w:rsid w:val="000E73F0"/>
    <w:rsid w:val="000E7505"/>
    <w:rsid w:val="000F3A18"/>
    <w:rsid w:val="00100551"/>
    <w:rsid w:val="001011A1"/>
    <w:rsid w:val="00101A95"/>
    <w:rsid w:val="001028D4"/>
    <w:rsid w:val="00113C5B"/>
    <w:rsid w:val="00115EC4"/>
    <w:rsid w:val="00117DCE"/>
    <w:rsid w:val="001222FC"/>
    <w:rsid w:val="001258A7"/>
    <w:rsid w:val="00126736"/>
    <w:rsid w:val="00126738"/>
    <w:rsid w:val="00132AEE"/>
    <w:rsid w:val="0013333A"/>
    <w:rsid w:val="0013466D"/>
    <w:rsid w:val="0014052D"/>
    <w:rsid w:val="001410BA"/>
    <w:rsid w:val="001411BD"/>
    <w:rsid w:val="00146542"/>
    <w:rsid w:val="00146FD7"/>
    <w:rsid w:val="001472BC"/>
    <w:rsid w:val="00147E1B"/>
    <w:rsid w:val="00152740"/>
    <w:rsid w:val="001529C2"/>
    <w:rsid w:val="001564A0"/>
    <w:rsid w:val="00156627"/>
    <w:rsid w:val="001576B4"/>
    <w:rsid w:val="0016055B"/>
    <w:rsid w:val="00163F05"/>
    <w:rsid w:val="00164D68"/>
    <w:rsid w:val="00165DF4"/>
    <w:rsid w:val="001739A9"/>
    <w:rsid w:val="00173A9A"/>
    <w:rsid w:val="00174033"/>
    <w:rsid w:val="001750D3"/>
    <w:rsid w:val="00183C9C"/>
    <w:rsid w:val="001855D0"/>
    <w:rsid w:val="00187CB8"/>
    <w:rsid w:val="00191D10"/>
    <w:rsid w:val="00193CC4"/>
    <w:rsid w:val="00194E94"/>
    <w:rsid w:val="00196000"/>
    <w:rsid w:val="00197CFA"/>
    <w:rsid w:val="001A0068"/>
    <w:rsid w:val="001A0457"/>
    <w:rsid w:val="001A28C4"/>
    <w:rsid w:val="001A43FC"/>
    <w:rsid w:val="001A4D44"/>
    <w:rsid w:val="001A5C71"/>
    <w:rsid w:val="001A69FD"/>
    <w:rsid w:val="001B03CC"/>
    <w:rsid w:val="001B0A25"/>
    <w:rsid w:val="001B0B0E"/>
    <w:rsid w:val="001B0F9F"/>
    <w:rsid w:val="001B4591"/>
    <w:rsid w:val="001B7FB1"/>
    <w:rsid w:val="001C5E95"/>
    <w:rsid w:val="001C7410"/>
    <w:rsid w:val="001D1F03"/>
    <w:rsid w:val="001D2353"/>
    <w:rsid w:val="001D63A9"/>
    <w:rsid w:val="001E0EFA"/>
    <w:rsid w:val="001E232E"/>
    <w:rsid w:val="001E4DFD"/>
    <w:rsid w:val="001E513F"/>
    <w:rsid w:val="001E53B1"/>
    <w:rsid w:val="001E6ED4"/>
    <w:rsid w:val="001F211E"/>
    <w:rsid w:val="001F7B57"/>
    <w:rsid w:val="00200B33"/>
    <w:rsid w:val="002015B8"/>
    <w:rsid w:val="00202CE8"/>
    <w:rsid w:val="002031C0"/>
    <w:rsid w:val="00204799"/>
    <w:rsid w:val="00204F79"/>
    <w:rsid w:val="0020597D"/>
    <w:rsid w:val="00217117"/>
    <w:rsid w:val="002263A9"/>
    <w:rsid w:val="00230ED0"/>
    <w:rsid w:val="00232F82"/>
    <w:rsid w:val="00240AF7"/>
    <w:rsid w:val="00242A0A"/>
    <w:rsid w:val="0024318D"/>
    <w:rsid w:val="002448A3"/>
    <w:rsid w:val="00245819"/>
    <w:rsid w:val="00245E18"/>
    <w:rsid w:val="00246128"/>
    <w:rsid w:val="0024626F"/>
    <w:rsid w:val="00247453"/>
    <w:rsid w:val="002510FF"/>
    <w:rsid w:val="00251B80"/>
    <w:rsid w:val="00253B05"/>
    <w:rsid w:val="00253B1B"/>
    <w:rsid w:val="00255FDD"/>
    <w:rsid w:val="002563AB"/>
    <w:rsid w:val="00256B8A"/>
    <w:rsid w:val="002570B9"/>
    <w:rsid w:val="002631BF"/>
    <w:rsid w:val="002640C8"/>
    <w:rsid w:val="0026472A"/>
    <w:rsid w:val="002653E4"/>
    <w:rsid w:val="00266702"/>
    <w:rsid w:val="00270B26"/>
    <w:rsid w:val="00271DF4"/>
    <w:rsid w:val="00281227"/>
    <w:rsid w:val="002816C5"/>
    <w:rsid w:val="00283B08"/>
    <w:rsid w:val="00284CD9"/>
    <w:rsid w:val="002907A6"/>
    <w:rsid w:val="002947DE"/>
    <w:rsid w:val="00294B52"/>
    <w:rsid w:val="00294E7B"/>
    <w:rsid w:val="002A3A80"/>
    <w:rsid w:val="002A42B3"/>
    <w:rsid w:val="002A5164"/>
    <w:rsid w:val="002A58BE"/>
    <w:rsid w:val="002A5D48"/>
    <w:rsid w:val="002B223B"/>
    <w:rsid w:val="002B2756"/>
    <w:rsid w:val="002B2A12"/>
    <w:rsid w:val="002B2D8E"/>
    <w:rsid w:val="002B67FD"/>
    <w:rsid w:val="002C0E24"/>
    <w:rsid w:val="002C67BA"/>
    <w:rsid w:val="002C68A7"/>
    <w:rsid w:val="002C7F0F"/>
    <w:rsid w:val="002D1F5C"/>
    <w:rsid w:val="002E4FEB"/>
    <w:rsid w:val="002E5879"/>
    <w:rsid w:val="002F141F"/>
    <w:rsid w:val="002F14A5"/>
    <w:rsid w:val="002F42DC"/>
    <w:rsid w:val="002F4E3E"/>
    <w:rsid w:val="002F730F"/>
    <w:rsid w:val="002F75C7"/>
    <w:rsid w:val="002F79C0"/>
    <w:rsid w:val="003029E8"/>
    <w:rsid w:val="00303A8A"/>
    <w:rsid w:val="00305F45"/>
    <w:rsid w:val="00307026"/>
    <w:rsid w:val="00307DCD"/>
    <w:rsid w:val="00307F6E"/>
    <w:rsid w:val="00312E30"/>
    <w:rsid w:val="00313955"/>
    <w:rsid w:val="003223C5"/>
    <w:rsid w:val="0032355E"/>
    <w:rsid w:val="00323586"/>
    <w:rsid w:val="00323E2B"/>
    <w:rsid w:val="0032576E"/>
    <w:rsid w:val="00326ED9"/>
    <w:rsid w:val="0033144F"/>
    <w:rsid w:val="003340D5"/>
    <w:rsid w:val="00335CC7"/>
    <w:rsid w:val="003365F5"/>
    <w:rsid w:val="00336C87"/>
    <w:rsid w:val="0033702D"/>
    <w:rsid w:val="00337D1F"/>
    <w:rsid w:val="00340B7B"/>
    <w:rsid w:val="003416C6"/>
    <w:rsid w:val="00350556"/>
    <w:rsid w:val="00352A08"/>
    <w:rsid w:val="00357618"/>
    <w:rsid w:val="0036015F"/>
    <w:rsid w:val="0036504F"/>
    <w:rsid w:val="00372D9A"/>
    <w:rsid w:val="00373D14"/>
    <w:rsid w:val="00374CBB"/>
    <w:rsid w:val="00380F9C"/>
    <w:rsid w:val="0038299D"/>
    <w:rsid w:val="00383555"/>
    <w:rsid w:val="0039158F"/>
    <w:rsid w:val="003A0EE3"/>
    <w:rsid w:val="003A1F77"/>
    <w:rsid w:val="003A24F7"/>
    <w:rsid w:val="003A2AB7"/>
    <w:rsid w:val="003A49AB"/>
    <w:rsid w:val="003A50BB"/>
    <w:rsid w:val="003A655B"/>
    <w:rsid w:val="003A7ADE"/>
    <w:rsid w:val="003B019F"/>
    <w:rsid w:val="003B15C8"/>
    <w:rsid w:val="003B1C72"/>
    <w:rsid w:val="003B287B"/>
    <w:rsid w:val="003B2904"/>
    <w:rsid w:val="003B7041"/>
    <w:rsid w:val="003C18F8"/>
    <w:rsid w:val="003D1432"/>
    <w:rsid w:val="003D1B9C"/>
    <w:rsid w:val="003D219E"/>
    <w:rsid w:val="003D2D1C"/>
    <w:rsid w:val="003D4D11"/>
    <w:rsid w:val="003D64DF"/>
    <w:rsid w:val="003D6552"/>
    <w:rsid w:val="003E1EA2"/>
    <w:rsid w:val="003E3B25"/>
    <w:rsid w:val="003E4F66"/>
    <w:rsid w:val="003E6AB7"/>
    <w:rsid w:val="003E6EC9"/>
    <w:rsid w:val="00401382"/>
    <w:rsid w:val="00401F27"/>
    <w:rsid w:val="004101CC"/>
    <w:rsid w:val="0041324D"/>
    <w:rsid w:val="004132BC"/>
    <w:rsid w:val="004160C2"/>
    <w:rsid w:val="00422D24"/>
    <w:rsid w:val="00424D01"/>
    <w:rsid w:val="00424DEF"/>
    <w:rsid w:val="0042626B"/>
    <w:rsid w:val="00427261"/>
    <w:rsid w:val="00432F13"/>
    <w:rsid w:val="00436982"/>
    <w:rsid w:val="00436A0D"/>
    <w:rsid w:val="00436EC9"/>
    <w:rsid w:val="00442E71"/>
    <w:rsid w:val="00443601"/>
    <w:rsid w:val="00446E30"/>
    <w:rsid w:val="00447C0B"/>
    <w:rsid w:val="00454FCE"/>
    <w:rsid w:val="004661E7"/>
    <w:rsid w:val="0047030A"/>
    <w:rsid w:val="0047068F"/>
    <w:rsid w:val="00486ACD"/>
    <w:rsid w:val="00486EEC"/>
    <w:rsid w:val="00487D6D"/>
    <w:rsid w:val="00493757"/>
    <w:rsid w:val="00494CDD"/>
    <w:rsid w:val="004A53D2"/>
    <w:rsid w:val="004A6DDE"/>
    <w:rsid w:val="004B1C0B"/>
    <w:rsid w:val="004B43F1"/>
    <w:rsid w:val="004B6AC0"/>
    <w:rsid w:val="004B7FB2"/>
    <w:rsid w:val="004C3487"/>
    <w:rsid w:val="004C4C31"/>
    <w:rsid w:val="004C7397"/>
    <w:rsid w:val="004C7773"/>
    <w:rsid w:val="004D4F2B"/>
    <w:rsid w:val="004D6184"/>
    <w:rsid w:val="004E021A"/>
    <w:rsid w:val="004E07E4"/>
    <w:rsid w:val="004E1785"/>
    <w:rsid w:val="004E77E9"/>
    <w:rsid w:val="004F0077"/>
    <w:rsid w:val="004F0EBC"/>
    <w:rsid w:val="004F1EB1"/>
    <w:rsid w:val="004F3A67"/>
    <w:rsid w:val="004F54B2"/>
    <w:rsid w:val="004F55DB"/>
    <w:rsid w:val="004F7368"/>
    <w:rsid w:val="00501708"/>
    <w:rsid w:val="00502C54"/>
    <w:rsid w:val="00505DD1"/>
    <w:rsid w:val="00506F08"/>
    <w:rsid w:val="00512919"/>
    <w:rsid w:val="00513205"/>
    <w:rsid w:val="00514956"/>
    <w:rsid w:val="00515F67"/>
    <w:rsid w:val="005179B8"/>
    <w:rsid w:val="00527B43"/>
    <w:rsid w:val="005303BD"/>
    <w:rsid w:val="005323CB"/>
    <w:rsid w:val="0053464A"/>
    <w:rsid w:val="00534866"/>
    <w:rsid w:val="00535A9E"/>
    <w:rsid w:val="00541319"/>
    <w:rsid w:val="00542E6D"/>
    <w:rsid w:val="00546452"/>
    <w:rsid w:val="005468B0"/>
    <w:rsid w:val="00552088"/>
    <w:rsid w:val="00552E75"/>
    <w:rsid w:val="00554951"/>
    <w:rsid w:val="00557664"/>
    <w:rsid w:val="00562992"/>
    <w:rsid w:val="00564691"/>
    <w:rsid w:val="00564BD3"/>
    <w:rsid w:val="00564EBF"/>
    <w:rsid w:val="00566B9A"/>
    <w:rsid w:val="0057287F"/>
    <w:rsid w:val="005734D2"/>
    <w:rsid w:val="005755A6"/>
    <w:rsid w:val="00577743"/>
    <w:rsid w:val="00580084"/>
    <w:rsid w:val="00581C79"/>
    <w:rsid w:val="00581DBC"/>
    <w:rsid w:val="0059018F"/>
    <w:rsid w:val="00590825"/>
    <w:rsid w:val="00593484"/>
    <w:rsid w:val="00595EFE"/>
    <w:rsid w:val="00596E7A"/>
    <w:rsid w:val="005A3FD2"/>
    <w:rsid w:val="005B0410"/>
    <w:rsid w:val="005B3898"/>
    <w:rsid w:val="005B5A98"/>
    <w:rsid w:val="005C0EEE"/>
    <w:rsid w:val="005C126A"/>
    <w:rsid w:val="005C13E7"/>
    <w:rsid w:val="005C217E"/>
    <w:rsid w:val="005C2E0C"/>
    <w:rsid w:val="005C3023"/>
    <w:rsid w:val="005C332E"/>
    <w:rsid w:val="005C376B"/>
    <w:rsid w:val="005C3F44"/>
    <w:rsid w:val="005C4F48"/>
    <w:rsid w:val="005C78B7"/>
    <w:rsid w:val="005D22F8"/>
    <w:rsid w:val="005D3553"/>
    <w:rsid w:val="005D400A"/>
    <w:rsid w:val="005E1FA9"/>
    <w:rsid w:val="005E396F"/>
    <w:rsid w:val="005E5FAB"/>
    <w:rsid w:val="005F186C"/>
    <w:rsid w:val="005F1AD5"/>
    <w:rsid w:val="005F40A4"/>
    <w:rsid w:val="005F7D97"/>
    <w:rsid w:val="0060067B"/>
    <w:rsid w:val="00600EBA"/>
    <w:rsid w:val="0060545C"/>
    <w:rsid w:val="00607AF8"/>
    <w:rsid w:val="00613F02"/>
    <w:rsid w:val="00620674"/>
    <w:rsid w:val="00621688"/>
    <w:rsid w:val="006241C1"/>
    <w:rsid w:val="0062444B"/>
    <w:rsid w:val="00627AFA"/>
    <w:rsid w:val="00631D01"/>
    <w:rsid w:val="00633C6B"/>
    <w:rsid w:val="0063553E"/>
    <w:rsid w:val="00636A4A"/>
    <w:rsid w:val="00636C01"/>
    <w:rsid w:val="00640FA7"/>
    <w:rsid w:val="006411D2"/>
    <w:rsid w:val="00642941"/>
    <w:rsid w:val="00642F19"/>
    <w:rsid w:val="00645357"/>
    <w:rsid w:val="00645C2C"/>
    <w:rsid w:val="00647785"/>
    <w:rsid w:val="006507B6"/>
    <w:rsid w:val="00651F27"/>
    <w:rsid w:val="00663F81"/>
    <w:rsid w:val="00664A14"/>
    <w:rsid w:val="0066732A"/>
    <w:rsid w:val="00673108"/>
    <w:rsid w:val="00673199"/>
    <w:rsid w:val="00676EEC"/>
    <w:rsid w:val="0068117B"/>
    <w:rsid w:val="006838F0"/>
    <w:rsid w:val="006844F7"/>
    <w:rsid w:val="0068552C"/>
    <w:rsid w:val="00685ABC"/>
    <w:rsid w:val="0068727C"/>
    <w:rsid w:val="00690C4A"/>
    <w:rsid w:val="00690F1E"/>
    <w:rsid w:val="00695D8C"/>
    <w:rsid w:val="006A4AFD"/>
    <w:rsid w:val="006A607C"/>
    <w:rsid w:val="006A6967"/>
    <w:rsid w:val="006A6CAC"/>
    <w:rsid w:val="006A7516"/>
    <w:rsid w:val="006A760F"/>
    <w:rsid w:val="006B05FF"/>
    <w:rsid w:val="006B6087"/>
    <w:rsid w:val="006C0367"/>
    <w:rsid w:val="006C7227"/>
    <w:rsid w:val="006C7F15"/>
    <w:rsid w:val="006D2743"/>
    <w:rsid w:val="006D2ADB"/>
    <w:rsid w:val="006D5C42"/>
    <w:rsid w:val="006D77A1"/>
    <w:rsid w:val="006E43E0"/>
    <w:rsid w:val="006E74D2"/>
    <w:rsid w:val="006E78E4"/>
    <w:rsid w:val="006F3A5E"/>
    <w:rsid w:val="006F7243"/>
    <w:rsid w:val="006F7C10"/>
    <w:rsid w:val="006F7F3E"/>
    <w:rsid w:val="007016FA"/>
    <w:rsid w:val="00702510"/>
    <w:rsid w:val="007027F4"/>
    <w:rsid w:val="007029C2"/>
    <w:rsid w:val="00702DA5"/>
    <w:rsid w:val="00706182"/>
    <w:rsid w:val="0071062D"/>
    <w:rsid w:val="007115D9"/>
    <w:rsid w:val="00712D07"/>
    <w:rsid w:val="007133E1"/>
    <w:rsid w:val="00713476"/>
    <w:rsid w:val="0071493B"/>
    <w:rsid w:val="00715C68"/>
    <w:rsid w:val="00720990"/>
    <w:rsid w:val="00727428"/>
    <w:rsid w:val="00733C1D"/>
    <w:rsid w:val="0073606D"/>
    <w:rsid w:val="00737156"/>
    <w:rsid w:val="007402FE"/>
    <w:rsid w:val="00741262"/>
    <w:rsid w:val="00742E09"/>
    <w:rsid w:val="0074323A"/>
    <w:rsid w:val="00747513"/>
    <w:rsid w:val="007518AD"/>
    <w:rsid w:val="00752D80"/>
    <w:rsid w:val="0075366C"/>
    <w:rsid w:val="007554B1"/>
    <w:rsid w:val="007626DF"/>
    <w:rsid w:val="00766F29"/>
    <w:rsid w:val="007746D2"/>
    <w:rsid w:val="00775AEA"/>
    <w:rsid w:val="00775F94"/>
    <w:rsid w:val="00777965"/>
    <w:rsid w:val="0078048F"/>
    <w:rsid w:val="00781842"/>
    <w:rsid w:val="00782988"/>
    <w:rsid w:val="00783A64"/>
    <w:rsid w:val="007847AA"/>
    <w:rsid w:val="00786E46"/>
    <w:rsid w:val="00790C8E"/>
    <w:rsid w:val="0079380A"/>
    <w:rsid w:val="0079484F"/>
    <w:rsid w:val="0079493A"/>
    <w:rsid w:val="007963A0"/>
    <w:rsid w:val="007A594F"/>
    <w:rsid w:val="007A685B"/>
    <w:rsid w:val="007B19BC"/>
    <w:rsid w:val="007B5E84"/>
    <w:rsid w:val="007B6B36"/>
    <w:rsid w:val="007C0452"/>
    <w:rsid w:val="007C0B21"/>
    <w:rsid w:val="007C5D42"/>
    <w:rsid w:val="007D1B06"/>
    <w:rsid w:val="007D4A22"/>
    <w:rsid w:val="007D5850"/>
    <w:rsid w:val="007D7B24"/>
    <w:rsid w:val="007E05D1"/>
    <w:rsid w:val="007E095F"/>
    <w:rsid w:val="007E28B5"/>
    <w:rsid w:val="007E3C84"/>
    <w:rsid w:val="007E5E6A"/>
    <w:rsid w:val="007E68AC"/>
    <w:rsid w:val="007E7C25"/>
    <w:rsid w:val="007F5EB8"/>
    <w:rsid w:val="007F7092"/>
    <w:rsid w:val="008003F7"/>
    <w:rsid w:val="008011B9"/>
    <w:rsid w:val="00801301"/>
    <w:rsid w:val="00803C80"/>
    <w:rsid w:val="008040C8"/>
    <w:rsid w:val="00807AE9"/>
    <w:rsid w:val="008116DC"/>
    <w:rsid w:val="00811BF1"/>
    <w:rsid w:val="00813067"/>
    <w:rsid w:val="008147A7"/>
    <w:rsid w:val="00816896"/>
    <w:rsid w:val="00817CAA"/>
    <w:rsid w:val="00820212"/>
    <w:rsid w:val="00820C38"/>
    <w:rsid w:val="00825DE1"/>
    <w:rsid w:val="008311BF"/>
    <w:rsid w:val="0084014D"/>
    <w:rsid w:val="008415F5"/>
    <w:rsid w:val="008432D6"/>
    <w:rsid w:val="00843686"/>
    <w:rsid w:val="00845A05"/>
    <w:rsid w:val="00847B5C"/>
    <w:rsid w:val="00853719"/>
    <w:rsid w:val="00853790"/>
    <w:rsid w:val="0085428F"/>
    <w:rsid w:val="00854FE7"/>
    <w:rsid w:val="0085555B"/>
    <w:rsid w:val="00860D7D"/>
    <w:rsid w:val="008625E2"/>
    <w:rsid w:val="008632DF"/>
    <w:rsid w:val="008658E4"/>
    <w:rsid w:val="008667A4"/>
    <w:rsid w:val="00870F37"/>
    <w:rsid w:val="008718CC"/>
    <w:rsid w:val="00872F7C"/>
    <w:rsid w:val="00873723"/>
    <w:rsid w:val="00874178"/>
    <w:rsid w:val="00875636"/>
    <w:rsid w:val="0087597F"/>
    <w:rsid w:val="00875DD5"/>
    <w:rsid w:val="00876517"/>
    <w:rsid w:val="00880D7D"/>
    <w:rsid w:val="00884A5A"/>
    <w:rsid w:val="008850CB"/>
    <w:rsid w:val="0088715D"/>
    <w:rsid w:val="008932C4"/>
    <w:rsid w:val="008945EA"/>
    <w:rsid w:val="008A1C75"/>
    <w:rsid w:val="008A2DC8"/>
    <w:rsid w:val="008A441D"/>
    <w:rsid w:val="008A4B85"/>
    <w:rsid w:val="008A4CBD"/>
    <w:rsid w:val="008B0605"/>
    <w:rsid w:val="008B320C"/>
    <w:rsid w:val="008B4AB1"/>
    <w:rsid w:val="008B5D5C"/>
    <w:rsid w:val="008C5F33"/>
    <w:rsid w:val="008C7451"/>
    <w:rsid w:val="008D3A50"/>
    <w:rsid w:val="008D406A"/>
    <w:rsid w:val="008D5BF8"/>
    <w:rsid w:val="008D6322"/>
    <w:rsid w:val="008D7175"/>
    <w:rsid w:val="008E0E93"/>
    <w:rsid w:val="008E4467"/>
    <w:rsid w:val="008E75C5"/>
    <w:rsid w:val="008F0271"/>
    <w:rsid w:val="008F334A"/>
    <w:rsid w:val="008F55FF"/>
    <w:rsid w:val="00901F05"/>
    <w:rsid w:val="00902703"/>
    <w:rsid w:val="00902A0B"/>
    <w:rsid w:val="009039B9"/>
    <w:rsid w:val="00905BDC"/>
    <w:rsid w:val="00911B22"/>
    <w:rsid w:val="00911CFE"/>
    <w:rsid w:val="00917E91"/>
    <w:rsid w:val="00920BA5"/>
    <w:rsid w:val="0092154D"/>
    <w:rsid w:val="0092303B"/>
    <w:rsid w:val="00930339"/>
    <w:rsid w:val="0093471E"/>
    <w:rsid w:val="009347D8"/>
    <w:rsid w:val="0094683F"/>
    <w:rsid w:val="00946B7E"/>
    <w:rsid w:val="009531F9"/>
    <w:rsid w:val="009538A8"/>
    <w:rsid w:val="00955C8F"/>
    <w:rsid w:val="00960DE1"/>
    <w:rsid w:val="00970314"/>
    <w:rsid w:val="0097411D"/>
    <w:rsid w:val="0097417F"/>
    <w:rsid w:val="00975940"/>
    <w:rsid w:val="00977A23"/>
    <w:rsid w:val="00981C63"/>
    <w:rsid w:val="00982EB1"/>
    <w:rsid w:val="00985910"/>
    <w:rsid w:val="00986AF7"/>
    <w:rsid w:val="00992ACE"/>
    <w:rsid w:val="00992FEE"/>
    <w:rsid w:val="009964F0"/>
    <w:rsid w:val="0099737C"/>
    <w:rsid w:val="00997652"/>
    <w:rsid w:val="009A3DB9"/>
    <w:rsid w:val="009A5109"/>
    <w:rsid w:val="009A5D3F"/>
    <w:rsid w:val="009A7684"/>
    <w:rsid w:val="009B1756"/>
    <w:rsid w:val="009B1D96"/>
    <w:rsid w:val="009B4468"/>
    <w:rsid w:val="009C3292"/>
    <w:rsid w:val="009C4A49"/>
    <w:rsid w:val="009C4F6F"/>
    <w:rsid w:val="009D1537"/>
    <w:rsid w:val="009D1912"/>
    <w:rsid w:val="009D1BA9"/>
    <w:rsid w:val="009D3F7C"/>
    <w:rsid w:val="009D4E12"/>
    <w:rsid w:val="009E128B"/>
    <w:rsid w:val="009E1642"/>
    <w:rsid w:val="009E3BE5"/>
    <w:rsid w:val="009E4A2B"/>
    <w:rsid w:val="009E6115"/>
    <w:rsid w:val="009E6B83"/>
    <w:rsid w:val="009F1ABE"/>
    <w:rsid w:val="009F1B9E"/>
    <w:rsid w:val="009F23DC"/>
    <w:rsid w:val="009F3A6D"/>
    <w:rsid w:val="009F4889"/>
    <w:rsid w:val="009F721D"/>
    <w:rsid w:val="00A03CA4"/>
    <w:rsid w:val="00A0490F"/>
    <w:rsid w:val="00A05939"/>
    <w:rsid w:val="00A06B46"/>
    <w:rsid w:val="00A07E1E"/>
    <w:rsid w:val="00A1376C"/>
    <w:rsid w:val="00A205DF"/>
    <w:rsid w:val="00A262C9"/>
    <w:rsid w:val="00A26C35"/>
    <w:rsid w:val="00A33853"/>
    <w:rsid w:val="00A3552C"/>
    <w:rsid w:val="00A40E55"/>
    <w:rsid w:val="00A416FB"/>
    <w:rsid w:val="00A44DD6"/>
    <w:rsid w:val="00A4586F"/>
    <w:rsid w:val="00A4660E"/>
    <w:rsid w:val="00A46D72"/>
    <w:rsid w:val="00A47FA6"/>
    <w:rsid w:val="00A52320"/>
    <w:rsid w:val="00A52759"/>
    <w:rsid w:val="00A52B67"/>
    <w:rsid w:val="00A53A41"/>
    <w:rsid w:val="00A54A04"/>
    <w:rsid w:val="00A576FF"/>
    <w:rsid w:val="00A6536E"/>
    <w:rsid w:val="00A65AA9"/>
    <w:rsid w:val="00A65E4B"/>
    <w:rsid w:val="00A72229"/>
    <w:rsid w:val="00A724A6"/>
    <w:rsid w:val="00A74CC3"/>
    <w:rsid w:val="00A7658D"/>
    <w:rsid w:val="00A77DFE"/>
    <w:rsid w:val="00A80675"/>
    <w:rsid w:val="00A8240C"/>
    <w:rsid w:val="00A8267E"/>
    <w:rsid w:val="00A82CC1"/>
    <w:rsid w:val="00A87938"/>
    <w:rsid w:val="00A90C4A"/>
    <w:rsid w:val="00A917CE"/>
    <w:rsid w:val="00A920E9"/>
    <w:rsid w:val="00A9390C"/>
    <w:rsid w:val="00A95820"/>
    <w:rsid w:val="00AA011B"/>
    <w:rsid w:val="00AA0126"/>
    <w:rsid w:val="00AA2A8F"/>
    <w:rsid w:val="00AB1A4F"/>
    <w:rsid w:val="00AB21C3"/>
    <w:rsid w:val="00AB235E"/>
    <w:rsid w:val="00AB5CB6"/>
    <w:rsid w:val="00AB7122"/>
    <w:rsid w:val="00AB7EE8"/>
    <w:rsid w:val="00AC3CC3"/>
    <w:rsid w:val="00AC6359"/>
    <w:rsid w:val="00AD130D"/>
    <w:rsid w:val="00AD3987"/>
    <w:rsid w:val="00AD4FF4"/>
    <w:rsid w:val="00AD5D6B"/>
    <w:rsid w:val="00AD6186"/>
    <w:rsid w:val="00AE584C"/>
    <w:rsid w:val="00AE6CD0"/>
    <w:rsid w:val="00AE7C0D"/>
    <w:rsid w:val="00AE7DD7"/>
    <w:rsid w:val="00AF4B08"/>
    <w:rsid w:val="00B00194"/>
    <w:rsid w:val="00B01139"/>
    <w:rsid w:val="00B01FD5"/>
    <w:rsid w:val="00B07D63"/>
    <w:rsid w:val="00B11A4D"/>
    <w:rsid w:val="00B13A21"/>
    <w:rsid w:val="00B1412D"/>
    <w:rsid w:val="00B14767"/>
    <w:rsid w:val="00B1535E"/>
    <w:rsid w:val="00B15F3C"/>
    <w:rsid w:val="00B17402"/>
    <w:rsid w:val="00B21186"/>
    <w:rsid w:val="00B24E3B"/>
    <w:rsid w:val="00B26334"/>
    <w:rsid w:val="00B30B1E"/>
    <w:rsid w:val="00B30D02"/>
    <w:rsid w:val="00B36250"/>
    <w:rsid w:val="00B44BBC"/>
    <w:rsid w:val="00B463AE"/>
    <w:rsid w:val="00B51079"/>
    <w:rsid w:val="00B538B9"/>
    <w:rsid w:val="00B53D34"/>
    <w:rsid w:val="00B5549D"/>
    <w:rsid w:val="00B57922"/>
    <w:rsid w:val="00B626B9"/>
    <w:rsid w:val="00B63A5D"/>
    <w:rsid w:val="00B64736"/>
    <w:rsid w:val="00B6730A"/>
    <w:rsid w:val="00B6756F"/>
    <w:rsid w:val="00B7255B"/>
    <w:rsid w:val="00B76A18"/>
    <w:rsid w:val="00B802E3"/>
    <w:rsid w:val="00B83C16"/>
    <w:rsid w:val="00B86EFF"/>
    <w:rsid w:val="00B97158"/>
    <w:rsid w:val="00B97541"/>
    <w:rsid w:val="00BA3945"/>
    <w:rsid w:val="00BA3EEC"/>
    <w:rsid w:val="00BA58F7"/>
    <w:rsid w:val="00BB073C"/>
    <w:rsid w:val="00BB0B0D"/>
    <w:rsid w:val="00BB1CF5"/>
    <w:rsid w:val="00BB3430"/>
    <w:rsid w:val="00BB4240"/>
    <w:rsid w:val="00BB624C"/>
    <w:rsid w:val="00BC01B1"/>
    <w:rsid w:val="00BC0663"/>
    <w:rsid w:val="00BC12BA"/>
    <w:rsid w:val="00BC347B"/>
    <w:rsid w:val="00BC48FA"/>
    <w:rsid w:val="00BC7051"/>
    <w:rsid w:val="00BD668A"/>
    <w:rsid w:val="00BE1BF7"/>
    <w:rsid w:val="00BE36D6"/>
    <w:rsid w:val="00BF1653"/>
    <w:rsid w:val="00BF3AE3"/>
    <w:rsid w:val="00BF3DB9"/>
    <w:rsid w:val="00C0378B"/>
    <w:rsid w:val="00C05DD4"/>
    <w:rsid w:val="00C06DD5"/>
    <w:rsid w:val="00C07100"/>
    <w:rsid w:val="00C115DB"/>
    <w:rsid w:val="00C1328F"/>
    <w:rsid w:val="00C15129"/>
    <w:rsid w:val="00C158A8"/>
    <w:rsid w:val="00C17F33"/>
    <w:rsid w:val="00C256FA"/>
    <w:rsid w:val="00C2638D"/>
    <w:rsid w:val="00C359B6"/>
    <w:rsid w:val="00C4209B"/>
    <w:rsid w:val="00C42953"/>
    <w:rsid w:val="00C4296E"/>
    <w:rsid w:val="00C42DB2"/>
    <w:rsid w:val="00C467ED"/>
    <w:rsid w:val="00C46DB5"/>
    <w:rsid w:val="00C53B82"/>
    <w:rsid w:val="00C54963"/>
    <w:rsid w:val="00C5532E"/>
    <w:rsid w:val="00C60932"/>
    <w:rsid w:val="00C61B1B"/>
    <w:rsid w:val="00C64430"/>
    <w:rsid w:val="00C7301B"/>
    <w:rsid w:val="00C77B0D"/>
    <w:rsid w:val="00C81581"/>
    <w:rsid w:val="00C8298F"/>
    <w:rsid w:val="00C84704"/>
    <w:rsid w:val="00C84DC1"/>
    <w:rsid w:val="00C85B13"/>
    <w:rsid w:val="00C87151"/>
    <w:rsid w:val="00C924BC"/>
    <w:rsid w:val="00C92BA0"/>
    <w:rsid w:val="00C93BE0"/>
    <w:rsid w:val="00CA659C"/>
    <w:rsid w:val="00CB0D2C"/>
    <w:rsid w:val="00CB1B5C"/>
    <w:rsid w:val="00CB3450"/>
    <w:rsid w:val="00CB67AC"/>
    <w:rsid w:val="00CC317F"/>
    <w:rsid w:val="00CC773F"/>
    <w:rsid w:val="00CD0280"/>
    <w:rsid w:val="00CD042E"/>
    <w:rsid w:val="00CD0979"/>
    <w:rsid w:val="00CD1003"/>
    <w:rsid w:val="00CD1A8B"/>
    <w:rsid w:val="00CD1CF7"/>
    <w:rsid w:val="00CD4F30"/>
    <w:rsid w:val="00CD7B41"/>
    <w:rsid w:val="00CE0005"/>
    <w:rsid w:val="00CE0F19"/>
    <w:rsid w:val="00CE4270"/>
    <w:rsid w:val="00CE4A4A"/>
    <w:rsid w:val="00CE6102"/>
    <w:rsid w:val="00CE6522"/>
    <w:rsid w:val="00CF0A18"/>
    <w:rsid w:val="00CF1046"/>
    <w:rsid w:val="00CF214D"/>
    <w:rsid w:val="00D04F40"/>
    <w:rsid w:val="00D0596E"/>
    <w:rsid w:val="00D06B6C"/>
    <w:rsid w:val="00D11A88"/>
    <w:rsid w:val="00D15525"/>
    <w:rsid w:val="00D16BE7"/>
    <w:rsid w:val="00D16DF4"/>
    <w:rsid w:val="00D17C26"/>
    <w:rsid w:val="00D20788"/>
    <w:rsid w:val="00D2142D"/>
    <w:rsid w:val="00D26778"/>
    <w:rsid w:val="00D27434"/>
    <w:rsid w:val="00D316CD"/>
    <w:rsid w:val="00D32120"/>
    <w:rsid w:val="00D35116"/>
    <w:rsid w:val="00D3535E"/>
    <w:rsid w:val="00D367A2"/>
    <w:rsid w:val="00D37BAC"/>
    <w:rsid w:val="00D419A7"/>
    <w:rsid w:val="00D4465E"/>
    <w:rsid w:val="00D4616C"/>
    <w:rsid w:val="00D50722"/>
    <w:rsid w:val="00D51E9E"/>
    <w:rsid w:val="00D53CE2"/>
    <w:rsid w:val="00D5525B"/>
    <w:rsid w:val="00D56849"/>
    <w:rsid w:val="00D56B3F"/>
    <w:rsid w:val="00D570C2"/>
    <w:rsid w:val="00D64662"/>
    <w:rsid w:val="00D65FCC"/>
    <w:rsid w:val="00D66EAC"/>
    <w:rsid w:val="00D67E87"/>
    <w:rsid w:val="00D7018C"/>
    <w:rsid w:val="00D715C2"/>
    <w:rsid w:val="00D742B3"/>
    <w:rsid w:val="00D746FA"/>
    <w:rsid w:val="00D74E11"/>
    <w:rsid w:val="00D81E2B"/>
    <w:rsid w:val="00D83C04"/>
    <w:rsid w:val="00D91FAE"/>
    <w:rsid w:val="00D92115"/>
    <w:rsid w:val="00D95F8E"/>
    <w:rsid w:val="00D96ADD"/>
    <w:rsid w:val="00D977EE"/>
    <w:rsid w:val="00DA20C1"/>
    <w:rsid w:val="00DA378A"/>
    <w:rsid w:val="00DA493D"/>
    <w:rsid w:val="00DA6C9D"/>
    <w:rsid w:val="00DA7092"/>
    <w:rsid w:val="00DB1B14"/>
    <w:rsid w:val="00DB357B"/>
    <w:rsid w:val="00DB3B85"/>
    <w:rsid w:val="00DB4D8D"/>
    <w:rsid w:val="00DB5835"/>
    <w:rsid w:val="00DB73D8"/>
    <w:rsid w:val="00DC0E71"/>
    <w:rsid w:val="00DC239C"/>
    <w:rsid w:val="00DC249D"/>
    <w:rsid w:val="00DC5072"/>
    <w:rsid w:val="00DC7D5E"/>
    <w:rsid w:val="00DD320A"/>
    <w:rsid w:val="00DD3BB6"/>
    <w:rsid w:val="00DD5824"/>
    <w:rsid w:val="00DD6E0C"/>
    <w:rsid w:val="00DE0FDD"/>
    <w:rsid w:val="00DE7D17"/>
    <w:rsid w:val="00DE7DF7"/>
    <w:rsid w:val="00DF3BBC"/>
    <w:rsid w:val="00DF741D"/>
    <w:rsid w:val="00E01A5A"/>
    <w:rsid w:val="00E02A51"/>
    <w:rsid w:val="00E03C0F"/>
    <w:rsid w:val="00E06C2D"/>
    <w:rsid w:val="00E16355"/>
    <w:rsid w:val="00E2423B"/>
    <w:rsid w:val="00E26651"/>
    <w:rsid w:val="00E27D42"/>
    <w:rsid w:val="00E30784"/>
    <w:rsid w:val="00E32182"/>
    <w:rsid w:val="00E32924"/>
    <w:rsid w:val="00E331A1"/>
    <w:rsid w:val="00E33CA8"/>
    <w:rsid w:val="00E34EFA"/>
    <w:rsid w:val="00E413EB"/>
    <w:rsid w:val="00E41541"/>
    <w:rsid w:val="00E451CA"/>
    <w:rsid w:val="00E5021C"/>
    <w:rsid w:val="00E57779"/>
    <w:rsid w:val="00E579EC"/>
    <w:rsid w:val="00E60BD2"/>
    <w:rsid w:val="00E612AC"/>
    <w:rsid w:val="00E61899"/>
    <w:rsid w:val="00E63498"/>
    <w:rsid w:val="00E63A13"/>
    <w:rsid w:val="00E6479C"/>
    <w:rsid w:val="00E65045"/>
    <w:rsid w:val="00E71C16"/>
    <w:rsid w:val="00E728F3"/>
    <w:rsid w:val="00E76427"/>
    <w:rsid w:val="00E77D1A"/>
    <w:rsid w:val="00E77D9D"/>
    <w:rsid w:val="00E87F84"/>
    <w:rsid w:val="00E92C22"/>
    <w:rsid w:val="00E9676F"/>
    <w:rsid w:val="00E96ADE"/>
    <w:rsid w:val="00EA0475"/>
    <w:rsid w:val="00EA209F"/>
    <w:rsid w:val="00EA42BB"/>
    <w:rsid w:val="00EA490F"/>
    <w:rsid w:val="00EA5EAB"/>
    <w:rsid w:val="00EA65AA"/>
    <w:rsid w:val="00EB0291"/>
    <w:rsid w:val="00EB1375"/>
    <w:rsid w:val="00EB19AE"/>
    <w:rsid w:val="00EB19CB"/>
    <w:rsid w:val="00EB2091"/>
    <w:rsid w:val="00EB3021"/>
    <w:rsid w:val="00EB5FCE"/>
    <w:rsid w:val="00EB7BB2"/>
    <w:rsid w:val="00EC069D"/>
    <w:rsid w:val="00EC0867"/>
    <w:rsid w:val="00EC1006"/>
    <w:rsid w:val="00EC2DA6"/>
    <w:rsid w:val="00ED2B9D"/>
    <w:rsid w:val="00ED6DBF"/>
    <w:rsid w:val="00ED70A5"/>
    <w:rsid w:val="00ED770C"/>
    <w:rsid w:val="00EE06B3"/>
    <w:rsid w:val="00EE2495"/>
    <w:rsid w:val="00EE450C"/>
    <w:rsid w:val="00EE6C7C"/>
    <w:rsid w:val="00EF283F"/>
    <w:rsid w:val="00EF4971"/>
    <w:rsid w:val="00EF5525"/>
    <w:rsid w:val="00EF5CFF"/>
    <w:rsid w:val="00EF6184"/>
    <w:rsid w:val="00EF7BDA"/>
    <w:rsid w:val="00F019B5"/>
    <w:rsid w:val="00F06CCF"/>
    <w:rsid w:val="00F06ED9"/>
    <w:rsid w:val="00F0736C"/>
    <w:rsid w:val="00F105D3"/>
    <w:rsid w:val="00F113C5"/>
    <w:rsid w:val="00F138A9"/>
    <w:rsid w:val="00F16926"/>
    <w:rsid w:val="00F21BD2"/>
    <w:rsid w:val="00F24974"/>
    <w:rsid w:val="00F24E49"/>
    <w:rsid w:val="00F26378"/>
    <w:rsid w:val="00F26598"/>
    <w:rsid w:val="00F26AAD"/>
    <w:rsid w:val="00F2754D"/>
    <w:rsid w:val="00F309EA"/>
    <w:rsid w:val="00F30C8C"/>
    <w:rsid w:val="00F31421"/>
    <w:rsid w:val="00F3777C"/>
    <w:rsid w:val="00F41D6D"/>
    <w:rsid w:val="00F422EB"/>
    <w:rsid w:val="00F42398"/>
    <w:rsid w:val="00F42460"/>
    <w:rsid w:val="00F45E39"/>
    <w:rsid w:val="00F462A4"/>
    <w:rsid w:val="00F470B3"/>
    <w:rsid w:val="00F50367"/>
    <w:rsid w:val="00F5142F"/>
    <w:rsid w:val="00F52F52"/>
    <w:rsid w:val="00F53298"/>
    <w:rsid w:val="00F546CC"/>
    <w:rsid w:val="00F54B39"/>
    <w:rsid w:val="00F558BE"/>
    <w:rsid w:val="00F56477"/>
    <w:rsid w:val="00F56566"/>
    <w:rsid w:val="00F63E18"/>
    <w:rsid w:val="00F6454B"/>
    <w:rsid w:val="00F646E8"/>
    <w:rsid w:val="00F6713B"/>
    <w:rsid w:val="00F67E85"/>
    <w:rsid w:val="00F71DBE"/>
    <w:rsid w:val="00F728B1"/>
    <w:rsid w:val="00F76084"/>
    <w:rsid w:val="00F770CD"/>
    <w:rsid w:val="00F8200B"/>
    <w:rsid w:val="00F831D3"/>
    <w:rsid w:val="00F83977"/>
    <w:rsid w:val="00F86B6F"/>
    <w:rsid w:val="00F90569"/>
    <w:rsid w:val="00F90734"/>
    <w:rsid w:val="00F90B90"/>
    <w:rsid w:val="00F92455"/>
    <w:rsid w:val="00F95325"/>
    <w:rsid w:val="00F96778"/>
    <w:rsid w:val="00FA055E"/>
    <w:rsid w:val="00FA18EE"/>
    <w:rsid w:val="00FA3622"/>
    <w:rsid w:val="00FA3CAA"/>
    <w:rsid w:val="00FA414E"/>
    <w:rsid w:val="00FA4BCD"/>
    <w:rsid w:val="00FA6D1E"/>
    <w:rsid w:val="00FB2D97"/>
    <w:rsid w:val="00FB2EBB"/>
    <w:rsid w:val="00FB4972"/>
    <w:rsid w:val="00FB60CD"/>
    <w:rsid w:val="00FC0B19"/>
    <w:rsid w:val="00FC5077"/>
    <w:rsid w:val="00FC52AC"/>
    <w:rsid w:val="00FC7266"/>
    <w:rsid w:val="00FC7BB9"/>
    <w:rsid w:val="00FD2F64"/>
    <w:rsid w:val="00FE12BC"/>
    <w:rsid w:val="00FE27A2"/>
    <w:rsid w:val="00FE51A6"/>
    <w:rsid w:val="00FE5B0C"/>
    <w:rsid w:val="00FE6008"/>
    <w:rsid w:val="00FF048F"/>
    <w:rsid w:val="00FF278E"/>
    <w:rsid w:val="00FF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1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744</Words>
  <Characters>4243</Characters>
  <Application>Microsoft Office Word</Application>
  <DocSecurity>0</DocSecurity>
  <Lines>35</Lines>
  <Paragraphs>9</Paragraphs>
  <ScaleCrop>false</ScaleCrop>
  <Company>www.x6x8.com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遐想 2.0</dc:creator>
  <cp:keywords/>
  <dc:description/>
  <cp:lastModifiedBy>遐想 2.0</cp:lastModifiedBy>
  <cp:revision>1</cp:revision>
  <dcterms:created xsi:type="dcterms:W3CDTF">2014-08-25T09:23:00Z</dcterms:created>
  <dcterms:modified xsi:type="dcterms:W3CDTF">2014-08-25T09:24:00Z</dcterms:modified>
</cp:coreProperties>
</file>